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742499" w14:textId="413137E3" w:rsidR="00E544C1" w:rsidRPr="00E544C1" w:rsidRDefault="00E544C1" w:rsidP="00E544C1">
      <w:pPr>
        <w:spacing w:line="276" w:lineRule="auto"/>
        <w:jc w:val="left"/>
        <w:rPr>
          <w:rFonts w:ascii="Times New Roman" w:hAnsi="Times New Roman"/>
          <w:b/>
          <w:sz w:val="28"/>
          <w:szCs w:val="28"/>
        </w:rPr>
      </w:pPr>
      <w:r w:rsidRPr="00E544C1">
        <w:rPr>
          <w:rFonts w:ascii="Times New Roman" w:hAnsi="Times New Roman"/>
          <w:b/>
          <w:sz w:val="28"/>
          <w:szCs w:val="28"/>
        </w:rPr>
        <w:t xml:space="preserve">Country: </w:t>
      </w:r>
      <w:r>
        <w:rPr>
          <w:rFonts w:ascii="Times New Roman" w:hAnsi="Times New Roman"/>
          <w:b/>
          <w:sz w:val="28"/>
          <w:szCs w:val="28"/>
        </w:rPr>
        <w:t>Benin</w:t>
      </w:r>
    </w:p>
    <w:p w14:paraId="19694328" w14:textId="7B66F8A1" w:rsidR="00E544C1" w:rsidRPr="00E544C1" w:rsidRDefault="00E544C1" w:rsidP="00E544C1">
      <w:pPr>
        <w:spacing w:line="276" w:lineRule="auto"/>
        <w:jc w:val="left"/>
        <w:rPr>
          <w:rFonts w:ascii="Times New Roman" w:hAnsi="Times New Roman"/>
          <w:b/>
          <w:sz w:val="28"/>
          <w:szCs w:val="28"/>
        </w:rPr>
      </w:pPr>
      <w:r w:rsidRPr="00E544C1">
        <w:rPr>
          <w:rFonts w:ascii="Times New Roman" w:hAnsi="Times New Roman"/>
          <w:b/>
          <w:sz w:val="28"/>
          <w:szCs w:val="28"/>
        </w:rPr>
        <w:t>Initiation Plan</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283"/>
        <w:gridCol w:w="7329"/>
      </w:tblGrid>
      <w:tr w:rsidR="00E544C1" w:rsidRPr="00E544C1" w14:paraId="1ADACFA7" w14:textId="77777777" w:rsidTr="00E948B4">
        <w:tc>
          <w:tcPr>
            <w:tcW w:w="1980" w:type="dxa"/>
          </w:tcPr>
          <w:p w14:paraId="444CACDC" w14:textId="169D4C6D" w:rsidR="00E544C1" w:rsidRPr="00E544C1" w:rsidRDefault="00E544C1" w:rsidP="00E948B4">
            <w:pPr>
              <w:spacing w:before="60" w:line="276" w:lineRule="auto"/>
              <w:rPr>
                <w:rFonts w:cs="Arial"/>
                <w:b/>
                <w:sz w:val="20"/>
                <w:szCs w:val="20"/>
                <w:lang w:val="fr-FR"/>
              </w:rPr>
            </w:pPr>
            <w:r w:rsidRPr="00E544C1">
              <w:rPr>
                <w:rFonts w:cs="Arial"/>
                <w:b/>
                <w:sz w:val="20"/>
                <w:szCs w:val="20"/>
                <w:lang w:val="fr-FR"/>
              </w:rPr>
              <w:t>Intitul</w:t>
            </w:r>
            <w:r w:rsidR="00E948B4">
              <w:rPr>
                <w:rFonts w:cs="Arial"/>
                <w:b/>
                <w:sz w:val="20"/>
                <w:szCs w:val="20"/>
                <w:lang w:val="fr-FR"/>
              </w:rPr>
              <w:t>é</w:t>
            </w:r>
            <w:r w:rsidRPr="00E544C1">
              <w:rPr>
                <w:rFonts w:cs="Arial"/>
                <w:b/>
                <w:sz w:val="20"/>
                <w:szCs w:val="20"/>
                <w:lang w:val="fr-FR"/>
              </w:rPr>
              <w:t xml:space="preserve"> du Projet</w:t>
            </w:r>
          </w:p>
        </w:tc>
        <w:tc>
          <w:tcPr>
            <w:tcW w:w="283" w:type="dxa"/>
          </w:tcPr>
          <w:p w14:paraId="4C904DFC" w14:textId="385D358B" w:rsidR="00E544C1" w:rsidRPr="00E544C1" w:rsidRDefault="00E544C1" w:rsidP="00E948B4">
            <w:pPr>
              <w:spacing w:before="60" w:line="276" w:lineRule="auto"/>
              <w:rPr>
                <w:rFonts w:cs="Arial"/>
                <w:b/>
                <w:sz w:val="20"/>
                <w:szCs w:val="20"/>
                <w:lang w:val="fr-FR"/>
              </w:rPr>
            </w:pPr>
            <w:r w:rsidRPr="00E544C1">
              <w:rPr>
                <w:rFonts w:cs="Arial"/>
                <w:b/>
                <w:sz w:val="20"/>
                <w:szCs w:val="20"/>
                <w:lang w:val="fr-FR"/>
              </w:rPr>
              <w:t>:</w:t>
            </w:r>
          </w:p>
        </w:tc>
        <w:tc>
          <w:tcPr>
            <w:tcW w:w="7329" w:type="dxa"/>
          </w:tcPr>
          <w:p w14:paraId="570CA31F" w14:textId="7CEC5198" w:rsidR="00E544C1" w:rsidRPr="00E544C1" w:rsidRDefault="00E544C1" w:rsidP="00E948B4">
            <w:pPr>
              <w:spacing w:before="60" w:line="276" w:lineRule="auto"/>
              <w:rPr>
                <w:rFonts w:cs="Arial"/>
                <w:b/>
                <w:sz w:val="20"/>
                <w:szCs w:val="20"/>
                <w:lang w:val="fr-FR"/>
              </w:rPr>
            </w:pPr>
            <w:r w:rsidRPr="00E544C1">
              <w:rPr>
                <w:rFonts w:cs="Arial"/>
                <w:sz w:val="20"/>
                <w:szCs w:val="20"/>
                <w:lang w:val="fr-FR"/>
              </w:rPr>
              <w:t>Projet Jeunes</w:t>
            </w:r>
            <w:r w:rsidR="0097580F">
              <w:rPr>
                <w:rFonts w:cs="Arial"/>
                <w:sz w:val="20"/>
                <w:szCs w:val="20"/>
                <w:lang w:val="fr-FR"/>
              </w:rPr>
              <w:t xml:space="preserve"> Entrepreneurs</w:t>
            </w:r>
            <w:r w:rsidRPr="00E544C1">
              <w:rPr>
                <w:rFonts w:cs="Arial"/>
                <w:sz w:val="20"/>
                <w:szCs w:val="20"/>
                <w:lang w:val="fr-FR"/>
              </w:rPr>
              <w:t xml:space="preserve"> – Fondation Tony </w:t>
            </w:r>
            <w:proofErr w:type="spellStart"/>
            <w:r w:rsidRPr="00E544C1">
              <w:rPr>
                <w:rFonts w:cs="Arial"/>
                <w:sz w:val="20"/>
                <w:szCs w:val="20"/>
                <w:lang w:val="fr-FR"/>
              </w:rPr>
              <w:t>Elumelu</w:t>
            </w:r>
            <w:proofErr w:type="spellEnd"/>
          </w:p>
        </w:tc>
      </w:tr>
      <w:tr w:rsidR="00E544C1" w:rsidRPr="00E544C1" w14:paraId="20A650C1" w14:textId="77777777" w:rsidTr="00E948B4">
        <w:tc>
          <w:tcPr>
            <w:tcW w:w="1980" w:type="dxa"/>
          </w:tcPr>
          <w:p w14:paraId="575D0904" w14:textId="44C65E51" w:rsidR="00E544C1" w:rsidRPr="00E544C1" w:rsidRDefault="00E544C1" w:rsidP="00E948B4">
            <w:pPr>
              <w:spacing w:before="60" w:line="276" w:lineRule="auto"/>
              <w:rPr>
                <w:rFonts w:cs="Arial"/>
                <w:b/>
                <w:sz w:val="20"/>
                <w:szCs w:val="20"/>
                <w:lang w:val="fr-FR"/>
              </w:rPr>
            </w:pPr>
            <w:r w:rsidRPr="00E544C1">
              <w:rPr>
                <w:rFonts w:cs="Arial"/>
                <w:b/>
                <w:sz w:val="20"/>
                <w:szCs w:val="20"/>
                <w:lang w:val="fr-FR"/>
              </w:rPr>
              <w:t>Effet contribuant (PNUAD)</w:t>
            </w:r>
          </w:p>
        </w:tc>
        <w:tc>
          <w:tcPr>
            <w:tcW w:w="283" w:type="dxa"/>
          </w:tcPr>
          <w:p w14:paraId="272FC602" w14:textId="6ADBF57A" w:rsidR="00E544C1" w:rsidRPr="00E544C1" w:rsidRDefault="00E544C1" w:rsidP="00E948B4">
            <w:pPr>
              <w:spacing w:before="60" w:line="276" w:lineRule="auto"/>
              <w:rPr>
                <w:rFonts w:cs="Arial"/>
                <w:b/>
                <w:sz w:val="20"/>
                <w:szCs w:val="20"/>
                <w:lang w:val="fr-FR"/>
              </w:rPr>
            </w:pPr>
            <w:r w:rsidRPr="00E544C1">
              <w:rPr>
                <w:rFonts w:cs="Arial"/>
                <w:b/>
                <w:sz w:val="20"/>
                <w:szCs w:val="20"/>
                <w:lang w:val="fr-FR"/>
              </w:rPr>
              <w:t>:</w:t>
            </w:r>
          </w:p>
        </w:tc>
        <w:tc>
          <w:tcPr>
            <w:tcW w:w="7329" w:type="dxa"/>
          </w:tcPr>
          <w:p w14:paraId="6ECBEF40" w14:textId="5C7E69A6" w:rsidR="00E544C1" w:rsidRPr="00E544C1" w:rsidRDefault="00E544C1" w:rsidP="00E948B4">
            <w:pPr>
              <w:spacing w:before="60" w:line="276" w:lineRule="auto"/>
              <w:rPr>
                <w:rFonts w:cs="Arial"/>
                <w:b/>
                <w:sz w:val="20"/>
                <w:szCs w:val="20"/>
                <w:lang w:val="fr-FR"/>
              </w:rPr>
            </w:pPr>
            <w:r w:rsidRPr="00E544C1">
              <w:rPr>
                <w:rFonts w:cs="Arial"/>
                <w:bCs/>
                <w:sz w:val="20"/>
                <w:szCs w:val="20"/>
                <w:lang w:val="fr-FR"/>
              </w:rPr>
              <w:t>D’ici à 2023, la population du Bénin, en particulier ses éléments les plus vulnérables, est plus résiliente et jouit d’une meilleure qualité de vie grâce à l’accès à un travail décent, à la sécurité alimentaire et nutritionnelle et aux énergies propres et grâce à la gestion durable des ressources naturelles, des effets négatifs des changements climatiques, des crises et des catastrophes.</w:t>
            </w:r>
          </w:p>
        </w:tc>
      </w:tr>
      <w:tr w:rsidR="00E544C1" w:rsidRPr="00E544C1" w14:paraId="440553D6" w14:textId="77777777" w:rsidTr="00E948B4">
        <w:tc>
          <w:tcPr>
            <w:tcW w:w="1980" w:type="dxa"/>
          </w:tcPr>
          <w:p w14:paraId="2774C22C" w14:textId="3F6BC518" w:rsidR="00E544C1" w:rsidRPr="00E948B4" w:rsidRDefault="00E544C1" w:rsidP="00E948B4">
            <w:pPr>
              <w:spacing w:before="60" w:line="276" w:lineRule="auto"/>
              <w:rPr>
                <w:rFonts w:cs="Arial"/>
                <w:b/>
                <w:sz w:val="20"/>
                <w:szCs w:val="20"/>
                <w:lang w:val="fr-FR"/>
              </w:rPr>
            </w:pPr>
            <w:r w:rsidRPr="00E948B4">
              <w:rPr>
                <w:rFonts w:cs="Arial"/>
                <w:b/>
                <w:sz w:val="20"/>
                <w:szCs w:val="20"/>
                <w:lang w:val="fr-FR"/>
              </w:rPr>
              <w:t>Produit 1.1</w:t>
            </w:r>
          </w:p>
        </w:tc>
        <w:tc>
          <w:tcPr>
            <w:tcW w:w="283" w:type="dxa"/>
          </w:tcPr>
          <w:p w14:paraId="4549E574" w14:textId="78DBBD27" w:rsidR="00E544C1" w:rsidRPr="00E544C1" w:rsidRDefault="00E544C1" w:rsidP="00E948B4">
            <w:pPr>
              <w:spacing w:before="60" w:line="276" w:lineRule="auto"/>
              <w:rPr>
                <w:rFonts w:cs="Arial"/>
                <w:b/>
                <w:sz w:val="20"/>
                <w:szCs w:val="20"/>
                <w:lang w:val="fr-FR"/>
              </w:rPr>
            </w:pPr>
            <w:r w:rsidRPr="00E544C1">
              <w:rPr>
                <w:rFonts w:cs="Arial"/>
                <w:b/>
                <w:sz w:val="20"/>
                <w:szCs w:val="20"/>
                <w:lang w:val="fr-FR"/>
              </w:rPr>
              <w:t>:</w:t>
            </w:r>
          </w:p>
        </w:tc>
        <w:tc>
          <w:tcPr>
            <w:tcW w:w="7329" w:type="dxa"/>
          </w:tcPr>
          <w:p w14:paraId="3EF47A51" w14:textId="2E977C7D" w:rsidR="00E544C1" w:rsidRPr="00E544C1" w:rsidRDefault="00E544C1" w:rsidP="00E948B4">
            <w:pPr>
              <w:spacing w:before="60" w:line="276" w:lineRule="auto"/>
              <w:rPr>
                <w:rFonts w:cs="Arial"/>
                <w:b/>
                <w:bCs/>
                <w:sz w:val="20"/>
                <w:szCs w:val="20"/>
                <w:lang w:val="fr-FR"/>
              </w:rPr>
            </w:pPr>
            <w:r w:rsidRPr="00E544C1">
              <w:rPr>
                <w:rFonts w:cs="Arial"/>
                <w:bCs/>
                <w:sz w:val="20"/>
                <w:szCs w:val="20"/>
                <w:lang w:val="fr-FR"/>
              </w:rPr>
              <w:t>Les groupes marginalisés, notamment les jeunes et les femmes en situation de sous-emploi, se voient fournir les moyens d’accéder aux avoirs financiers, d’occuper des emplois durables et de développer leur esprit d’entreprise.</w:t>
            </w:r>
          </w:p>
        </w:tc>
      </w:tr>
      <w:tr w:rsidR="00E544C1" w:rsidRPr="00E948B4" w14:paraId="4A61B2B9" w14:textId="77777777" w:rsidTr="00E948B4">
        <w:tc>
          <w:tcPr>
            <w:tcW w:w="1980" w:type="dxa"/>
          </w:tcPr>
          <w:p w14:paraId="1B6E0D7D" w14:textId="1385FF90" w:rsidR="00E544C1" w:rsidRPr="00E948B4" w:rsidRDefault="00E544C1" w:rsidP="00E948B4">
            <w:pPr>
              <w:spacing w:before="60" w:line="276" w:lineRule="auto"/>
              <w:rPr>
                <w:rFonts w:cs="Arial"/>
                <w:b/>
                <w:sz w:val="20"/>
                <w:szCs w:val="20"/>
                <w:lang w:val="fr-FR"/>
              </w:rPr>
            </w:pPr>
            <w:r w:rsidRPr="00E948B4">
              <w:rPr>
                <w:rFonts w:cs="Arial"/>
                <w:b/>
                <w:sz w:val="20"/>
                <w:szCs w:val="20"/>
                <w:lang w:val="fr-FR"/>
              </w:rPr>
              <w:t xml:space="preserve">Initiation Plan </w:t>
            </w:r>
            <w:r w:rsidR="00E948B4" w:rsidRPr="00E948B4">
              <w:rPr>
                <w:rFonts w:cs="Arial"/>
                <w:b/>
                <w:sz w:val="20"/>
                <w:szCs w:val="20"/>
                <w:lang w:val="fr-FR"/>
              </w:rPr>
              <w:t>Date de début</w:t>
            </w:r>
            <w:r w:rsidRPr="00E948B4">
              <w:rPr>
                <w:rFonts w:cs="Arial"/>
                <w:b/>
                <w:sz w:val="20"/>
                <w:szCs w:val="20"/>
                <w:lang w:val="fr-FR"/>
              </w:rPr>
              <w:t>/</w:t>
            </w:r>
            <w:r w:rsidR="00E948B4" w:rsidRPr="00E948B4">
              <w:rPr>
                <w:rFonts w:cs="Arial"/>
                <w:b/>
                <w:sz w:val="20"/>
                <w:szCs w:val="20"/>
                <w:lang w:val="fr-FR"/>
              </w:rPr>
              <w:t>Date de fi</w:t>
            </w:r>
            <w:r w:rsidR="00E948B4">
              <w:rPr>
                <w:rFonts w:cs="Arial"/>
                <w:b/>
                <w:sz w:val="20"/>
                <w:szCs w:val="20"/>
                <w:lang w:val="fr-FR"/>
              </w:rPr>
              <w:t>n</w:t>
            </w:r>
          </w:p>
        </w:tc>
        <w:tc>
          <w:tcPr>
            <w:tcW w:w="283" w:type="dxa"/>
          </w:tcPr>
          <w:p w14:paraId="68083898" w14:textId="20F48BF0" w:rsidR="00E544C1" w:rsidRPr="00E544C1" w:rsidRDefault="00E544C1" w:rsidP="00E948B4">
            <w:pPr>
              <w:spacing w:before="60" w:line="276" w:lineRule="auto"/>
              <w:rPr>
                <w:rFonts w:cs="Arial"/>
                <w:b/>
                <w:sz w:val="20"/>
                <w:szCs w:val="20"/>
                <w:lang w:val="en-US"/>
              </w:rPr>
            </w:pPr>
            <w:r w:rsidRPr="00E544C1">
              <w:rPr>
                <w:rFonts w:cs="Arial"/>
                <w:b/>
                <w:sz w:val="20"/>
                <w:szCs w:val="20"/>
                <w:lang w:val="en-US"/>
              </w:rPr>
              <w:t>:</w:t>
            </w:r>
          </w:p>
        </w:tc>
        <w:tc>
          <w:tcPr>
            <w:tcW w:w="7329" w:type="dxa"/>
          </w:tcPr>
          <w:p w14:paraId="1E70044D" w14:textId="79219E4E" w:rsidR="00E544C1" w:rsidRPr="00E948B4" w:rsidRDefault="00E544C1" w:rsidP="00E948B4">
            <w:pPr>
              <w:spacing w:before="60" w:line="276" w:lineRule="auto"/>
              <w:rPr>
                <w:rFonts w:cs="Arial"/>
                <w:b/>
                <w:sz w:val="20"/>
                <w:szCs w:val="20"/>
                <w:lang w:val="fr-FR"/>
              </w:rPr>
            </w:pPr>
            <w:r w:rsidRPr="00E948B4">
              <w:rPr>
                <w:rFonts w:cs="Arial"/>
                <w:sz w:val="20"/>
                <w:szCs w:val="20"/>
                <w:lang w:val="fr-FR"/>
              </w:rPr>
              <w:t>1</w:t>
            </w:r>
            <w:r w:rsidR="00E948B4" w:rsidRPr="00E948B4">
              <w:rPr>
                <w:rFonts w:cs="Arial"/>
                <w:sz w:val="20"/>
                <w:szCs w:val="20"/>
                <w:lang w:val="fr-FR"/>
              </w:rPr>
              <w:t>5 novembre</w:t>
            </w:r>
            <w:r w:rsidR="00E948B4">
              <w:rPr>
                <w:rFonts w:cs="Arial"/>
                <w:sz w:val="20"/>
                <w:szCs w:val="20"/>
                <w:lang w:val="fr-FR"/>
              </w:rPr>
              <w:t xml:space="preserve"> 2021</w:t>
            </w:r>
            <w:r w:rsidR="009C7B25">
              <w:rPr>
                <w:rFonts w:cs="Arial"/>
                <w:sz w:val="20"/>
                <w:szCs w:val="20"/>
                <w:lang w:val="fr-FR"/>
              </w:rPr>
              <w:t xml:space="preserve"> </w:t>
            </w:r>
            <w:r w:rsidR="00E948B4" w:rsidRPr="00E948B4">
              <w:rPr>
                <w:rFonts w:cs="Arial"/>
                <w:sz w:val="20"/>
                <w:szCs w:val="20"/>
                <w:lang w:val="fr-FR"/>
              </w:rPr>
              <w:t>– 31 Décembre</w:t>
            </w:r>
            <w:r w:rsidR="00E948B4">
              <w:rPr>
                <w:rFonts w:cs="Arial"/>
                <w:sz w:val="20"/>
                <w:szCs w:val="20"/>
                <w:lang w:val="fr-FR"/>
              </w:rPr>
              <w:t xml:space="preserve"> 2021</w:t>
            </w:r>
          </w:p>
        </w:tc>
      </w:tr>
      <w:tr w:rsidR="00E544C1" w:rsidRPr="00E544C1" w14:paraId="4909BFDB" w14:textId="77777777" w:rsidTr="00E948B4">
        <w:tc>
          <w:tcPr>
            <w:tcW w:w="1980" w:type="dxa"/>
          </w:tcPr>
          <w:p w14:paraId="21123841" w14:textId="18DB5A46" w:rsidR="00E544C1" w:rsidRPr="00E544C1" w:rsidRDefault="00E544C1" w:rsidP="00E948B4">
            <w:pPr>
              <w:spacing w:before="60" w:line="276" w:lineRule="auto"/>
              <w:rPr>
                <w:rFonts w:cs="Arial"/>
                <w:b/>
                <w:sz w:val="20"/>
                <w:szCs w:val="20"/>
                <w:lang w:val="en-US"/>
              </w:rPr>
            </w:pPr>
            <w:r w:rsidRPr="00E544C1">
              <w:rPr>
                <w:rFonts w:cs="Arial"/>
                <w:b/>
                <w:sz w:val="20"/>
                <w:szCs w:val="20"/>
              </w:rPr>
              <w:t>Implementing Partner</w:t>
            </w:r>
          </w:p>
        </w:tc>
        <w:tc>
          <w:tcPr>
            <w:tcW w:w="283" w:type="dxa"/>
          </w:tcPr>
          <w:p w14:paraId="5304CF4F" w14:textId="60A938F2" w:rsidR="00E544C1" w:rsidRPr="00E544C1" w:rsidRDefault="00E544C1" w:rsidP="00E948B4">
            <w:pPr>
              <w:spacing w:before="60" w:line="276" w:lineRule="auto"/>
              <w:rPr>
                <w:rFonts w:cs="Arial"/>
                <w:b/>
                <w:sz w:val="20"/>
                <w:szCs w:val="20"/>
                <w:lang w:val="en-US"/>
              </w:rPr>
            </w:pPr>
            <w:r w:rsidRPr="00E544C1">
              <w:rPr>
                <w:rFonts w:cs="Arial"/>
                <w:b/>
                <w:sz w:val="20"/>
                <w:szCs w:val="20"/>
                <w:lang w:val="en-US"/>
              </w:rPr>
              <w:t>:</w:t>
            </w:r>
          </w:p>
        </w:tc>
        <w:tc>
          <w:tcPr>
            <w:tcW w:w="7329" w:type="dxa"/>
          </w:tcPr>
          <w:p w14:paraId="7A91DE4A" w14:textId="6787A878" w:rsidR="00E544C1" w:rsidRPr="00E544C1" w:rsidRDefault="00E544C1" w:rsidP="00E948B4">
            <w:pPr>
              <w:spacing w:before="60" w:line="276" w:lineRule="auto"/>
              <w:rPr>
                <w:rFonts w:cs="Arial"/>
                <w:b/>
                <w:sz w:val="20"/>
                <w:szCs w:val="20"/>
                <w:lang w:val="en-US"/>
              </w:rPr>
            </w:pPr>
            <w:r w:rsidRPr="00E544C1">
              <w:rPr>
                <w:rFonts w:cs="Arial"/>
                <w:sz w:val="20"/>
                <w:szCs w:val="20"/>
              </w:rPr>
              <w:t>UNDP</w:t>
            </w:r>
          </w:p>
        </w:tc>
      </w:tr>
    </w:tbl>
    <w:p w14:paraId="77AFA9AA" w14:textId="648FD0E9" w:rsidR="00E544C1" w:rsidRDefault="00E544C1" w:rsidP="00E544C1">
      <w:pPr>
        <w:spacing w:line="276" w:lineRule="auto"/>
        <w:rPr>
          <w:rFonts w:cs="Arial"/>
          <w:b/>
          <w:sz w:val="20"/>
          <w:szCs w:val="20"/>
          <w:lang w:val="en-US"/>
        </w:rPr>
      </w:pPr>
    </w:p>
    <w:tbl>
      <w:tblPr>
        <w:tblStyle w:val="Grilledutableau"/>
        <w:tblW w:w="0" w:type="auto"/>
        <w:tblLook w:val="04A0" w:firstRow="1" w:lastRow="0" w:firstColumn="1" w:lastColumn="0" w:noHBand="0" w:noVBand="1"/>
      </w:tblPr>
      <w:tblGrid>
        <w:gridCol w:w="9592"/>
      </w:tblGrid>
      <w:tr w:rsidR="00E948B4" w:rsidRPr="00E948B4" w14:paraId="17F9AC75" w14:textId="77777777" w:rsidTr="003B2BEF">
        <w:trPr>
          <w:trHeight w:val="4273"/>
        </w:trPr>
        <w:tc>
          <w:tcPr>
            <w:tcW w:w="9592" w:type="dxa"/>
          </w:tcPr>
          <w:p w14:paraId="157C90B2" w14:textId="77777777" w:rsidR="00E948B4" w:rsidRDefault="00E948B4" w:rsidP="00E948B4">
            <w:pPr>
              <w:spacing w:line="276" w:lineRule="auto"/>
              <w:jc w:val="center"/>
              <w:rPr>
                <w:rFonts w:cs="Arial"/>
                <w:b/>
                <w:sz w:val="20"/>
                <w:szCs w:val="20"/>
                <w:lang w:val="fr-FR"/>
              </w:rPr>
            </w:pPr>
          </w:p>
          <w:p w14:paraId="0030CFC9" w14:textId="7FEBD5F8" w:rsidR="00E948B4" w:rsidRPr="00E948B4" w:rsidRDefault="00E948B4" w:rsidP="00E948B4">
            <w:pPr>
              <w:spacing w:line="276" w:lineRule="auto"/>
              <w:jc w:val="center"/>
              <w:rPr>
                <w:rFonts w:cs="Arial"/>
                <w:b/>
                <w:sz w:val="20"/>
                <w:szCs w:val="20"/>
                <w:lang w:val="fr-FR"/>
              </w:rPr>
            </w:pPr>
            <w:r w:rsidRPr="00E948B4">
              <w:rPr>
                <w:rFonts w:cs="Arial"/>
                <w:b/>
                <w:sz w:val="20"/>
                <w:szCs w:val="20"/>
                <w:lang w:val="fr-FR"/>
              </w:rPr>
              <w:t>Brève description</w:t>
            </w:r>
          </w:p>
          <w:p w14:paraId="6BA00305" w14:textId="77777777" w:rsidR="00E948B4" w:rsidRPr="00AD1082" w:rsidRDefault="00E948B4" w:rsidP="00D5471E">
            <w:pPr>
              <w:shd w:val="clear" w:color="auto" w:fill="FFFFFF"/>
              <w:spacing w:before="120" w:after="120"/>
              <w:rPr>
                <w:rFonts w:cs="Arial"/>
                <w:bCs/>
                <w:sz w:val="18"/>
                <w:szCs w:val="18"/>
                <w:lang w:val="fr-FR"/>
              </w:rPr>
            </w:pPr>
            <w:r w:rsidRPr="00AD1082">
              <w:rPr>
                <w:rFonts w:cs="Arial"/>
                <w:bCs/>
                <w:sz w:val="18"/>
                <w:szCs w:val="18"/>
                <w:lang w:val="fr-FR"/>
              </w:rPr>
              <w:t>Les Jeunes et Femmes entrepreneurs du Bénin sont confrontés à de multiples défis notamment l’identification des opportunités d’entreprises, l’introduction des innovations</w:t>
            </w:r>
            <w:r>
              <w:rPr>
                <w:rFonts w:cs="Arial"/>
                <w:bCs/>
                <w:sz w:val="18"/>
                <w:szCs w:val="18"/>
                <w:lang w:val="fr-FR"/>
              </w:rPr>
              <w:t>,</w:t>
            </w:r>
            <w:r w:rsidRPr="00AD1082">
              <w:rPr>
                <w:rFonts w:cs="Arial"/>
                <w:bCs/>
                <w:sz w:val="18"/>
                <w:szCs w:val="18"/>
                <w:lang w:val="fr-FR"/>
              </w:rPr>
              <w:t xml:space="preserve"> le développement de nouvelles technologies</w:t>
            </w:r>
            <w:r>
              <w:rPr>
                <w:rFonts w:cs="Arial"/>
                <w:bCs/>
                <w:sz w:val="18"/>
                <w:szCs w:val="18"/>
                <w:lang w:val="fr-FR"/>
              </w:rPr>
              <w:t xml:space="preserve"> et</w:t>
            </w:r>
            <w:r w:rsidRPr="00AD1082">
              <w:rPr>
                <w:rFonts w:cs="Arial"/>
                <w:bCs/>
                <w:sz w:val="18"/>
                <w:szCs w:val="18"/>
                <w:lang w:val="fr-FR"/>
              </w:rPr>
              <w:t xml:space="preserve"> la mise en place du premier financement </w:t>
            </w:r>
            <w:r>
              <w:rPr>
                <w:rFonts w:cs="Arial"/>
                <w:bCs/>
                <w:sz w:val="18"/>
                <w:szCs w:val="18"/>
                <w:lang w:val="fr-FR"/>
              </w:rPr>
              <w:t>comme</w:t>
            </w:r>
            <w:r w:rsidRPr="00AD1082">
              <w:rPr>
                <w:rFonts w:cs="Arial"/>
                <w:bCs/>
                <w:sz w:val="18"/>
                <w:szCs w:val="18"/>
                <w:lang w:val="fr-FR"/>
              </w:rPr>
              <w:t xml:space="preserve"> lev</w:t>
            </w:r>
            <w:r>
              <w:rPr>
                <w:rFonts w:cs="Arial"/>
                <w:bCs/>
                <w:sz w:val="18"/>
                <w:szCs w:val="18"/>
                <w:lang w:val="fr-FR"/>
              </w:rPr>
              <w:t>i</w:t>
            </w:r>
            <w:r w:rsidRPr="00AD1082">
              <w:rPr>
                <w:rFonts w:cs="Arial"/>
                <w:bCs/>
                <w:sz w:val="18"/>
                <w:szCs w:val="18"/>
                <w:lang w:val="fr-FR"/>
              </w:rPr>
              <w:t xml:space="preserve">ers </w:t>
            </w:r>
            <w:r>
              <w:rPr>
                <w:rFonts w:cs="Arial"/>
                <w:bCs/>
                <w:sz w:val="18"/>
                <w:szCs w:val="18"/>
                <w:lang w:val="fr-FR"/>
              </w:rPr>
              <w:t xml:space="preserve">à d’autres </w:t>
            </w:r>
            <w:r w:rsidRPr="00AD1082">
              <w:rPr>
                <w:rFonts w:cs="Arial"/>
                <w:bCs/>
                <w:sz w:val="18"/>
                <w:szCs w:val="18"/>
                <w:lang w:val="fr-FR"/>
              </w:rPr>
              <w:t xml:space="preserve">ressources </w:t>
            </w:r>
            <w:r>
              <w:rPr>
                <w:rFonts w:cs="Arial"/>
                <w:bCs/>
                <w:sz w:val="18"/>
                <w:szCs w:val="18"/>
                <w:lang w:val="fr-FR"/>
              </w:rPr>
              <w:t xml:space="preserve">plus </w:t>
            </w:r>
            <w:r w:rsidRPr="00AD1082">
              <w:rPr>
                <w:rFonts w:cs="Arial"/>
                <w:bCs/>
                <w:sz w:val="18"/>
                <w:szCs w:val="18"/>
                <w:lang w:val="fr-FR"/>
              </w:rPr>
              <w:t xml:space="preserve">importantes. Ces défis sont rendus complexes par la crise du COVID-19 </w:t>
            </w:r>
            <w:r>
              <w:rPr>
                <w:rFonts w:cs="Arial"/>
                <w:bCs/>
                <w:sz w:val="18"/>
                <w:szCs w:val="18"/>
                <w:lang w:val="fr-FR"/>
              </w:rPr>
              <w:t xml:space="preserve">dont les conséquences amenuisent </w:t>
            </w:r>
            <w:r w:rsidRPr="00AD1082">
              <w:rPr>
                <w:rFonts w:cs="Arial"/>
                <w:bCs/>
                <w:sz w:val="18"/>
                <w:szCs w:val="18"/>
                <w:lang w:val="fr-FR"/>
              </w:rPr>
              <w:t xml:space="preserve">l’espoir d’entreprendre </w:t>
            </w:r>
            <w:r>
              <w:rPr>
                <w:rFonts w:cs="Arial"/>
                <w:bCs/>
                <w:sz w:val="18"/>
                <w:szCs w:val="18"/>
                <w:lang w:val="fr-FR"/>
              </w:rPr>
              <w:t xml:space="preserve">au sein des jeunes </w:t>
            </w:r>
            <w:r w:rsidRPr="00AD1082">
              <w:rPr>
                <w:rFonts w:cs="Arial"/>
                <w:bCs/>
                <w:sz w:val="18"/>
                <w:szCs w:val="18"/>
                <w:lang w:val="fr-FR"/>
              </w:rPr>
              <w:t xml:space="preserve">et </w:t>
            </w:r>
            <w:r>
              <w:rPr>
                <w:rFonts w:cs="Arial"/>
                <w:bCs/>
                <w:sz w:val="18"/>
                <w:szCs w:val="18"/>
                <w:lang w:val="fr-FR"/>
              </w:rPr>
              <w:t>compromettent les chances de succès de leurs entreprises.</w:t>
            </w:r>
          </w:p>
          <w:p w14:paraId="74A0CF13" w14:textId="77777777" w:rsidR="00E948B4" w:rsidRPr="00AD1082" w:rsidRDefault="00E948B4" w:rsidP="00D5471E">
            <w:pPr>
              <w:shd w:val="clear" w:color="auto" w:fill="FFFFFF"/>
              <w:spacing w:before="120" w:after="120"/>
              <w:rPr>
                <w:rFonts w:cs="Arial"/>
                <w:bCs/>
                <w:sz w:val="18"/>
                <w:szCs w:val="18"/>
                <w:lang w:val="fr-FR"/>
              </w:rPr>
            </w:pPr>
            <w:r w:rsidRPr="00AD1082">
              <w:rPr>
                <w:rFonts w:cs="Arial"/>
                <w:bCs/>
                <w:sz w:val="18"/>
                <w:szCs w:val="18"/>
                <w:lang w:val="fr-FR"/>
              </w:rPr>
              <w:t xml:space="preserve">Le </w:t>
            </w:r>
            <w:r>
              <w:rPr>
                <w:rFonts w:cs="Arial"/>
                <w:bCs/>
                <w:sz w:val="18"/>
                <w:szCs w:val="18"/>
                <w:lang w:val="fr-FR"/>
              </w:rPr>
              <w:t xml:space="preserve">présent </w:t>
            </w:r>
            <w:r w:rsidRPr="00AD1082">
              <w:rPr>
                <w:rFonts w:cs="Arial"/>
                <w:bCs/>
                <w:sz w:val="18"/>
                <w:szCs w:val="18"/>
                <w:lang w:val="fr-FR"/>
              </w:rPr>
              <w:t xml:space="preserve">Projet a aussi pour objectif d’améliorer durablement le revenu des jeunes et femmes entrepreneurs dans le contexte de COVID. Il est porté par le Bureau Pays PNUD du Bénin et mis en œuvre en collaboration avec l’ADSC, une structure spécialisée dans l’innovation et l’accompagnement entrepreneurial au Bénin.  </w:t>
            </w:r>
            <w:r>
              <w:rPr>
                <w:rFonts w:cs="Arial"/>
                <w:bCs/>
                <w:sz w:val="18"/>
                <w:szCs w:val="18"/>
                <w:lang w:val="fr-FR"/>
              </w:rPr>
              <w:t xml:space="preserve">Cette dernière bénéficie des ressources du PNUD sous forme de fonds de relèvement du défi de l’innovation par l‘entrepreneuriat des jeunes et des femmes. Le Projet </w:t>
            </w:r>
            <w:r w:rsidRPr="00AD1082">
              <w:rPr>
                <w:rFonts w:cs="Arial"/>
                <w:bCs/>
                <w:sz w:val="18"/>
                <w:szCs w:val="18"/>
                <w:lang w:val="fr-FR"/>
              </w:rPr>
              <w:t xml:space="preserve">capitalise </w:t>
            </w:r>
            <w:r>
              <w:rPr>
                <w:rFonts w:cs="Arial"/>
                <w:bCs/>
                <w:sz w:val="18"/>
                <w:szCs w:val="18"/>
                <w:lang w:val="fr-FR"/>
              </w:rPr>
              <w:t xml:space="preserve">également </w:t>
            </w:r>
            <w:r w:rsidRPr="00AD1082">
              <w:rPr>
                <w:rFonts w:cs="Arial"/>
                <w:bCs/>
                <w:sz w:val="18"/>
                <w:szCs w:val="18"/>
                <w:lang w:val="fr-FR"/>
              </w:rPr>
              <w:t xml:space="preserve">sur le potentiel d’expériences du partenariat entre l’Agence et la Fondation Tony </w:t>
            </w:r>
            <w:proofErr w:type="spellStart"/>
            <w:r w:rsidRPr="00AD1082">
              <w:rPr>
                <w:rFonts w:cs="Arial"/>
                <w:bCs/>
                <w:sz w:val="18"/>
                <w:szCs w:val="18"/>
                <w:lang w:val="fr-FR"/>
              </w:rPr>
              <w:t>Elumelu</w:t>
            </w:r>
            <w:proofErr w:type="spellEnd"/>
            <w:r w:rsidRPr="00AD1082">
              <w:rPr>
                <w:rFonts w:cs="Arial"/>
                <w:bCs/>
                <w:sz w:val="18"/>
                <w:szCs w:val="18"/>
                <w:lang w:val="fr-FR"/>
              </w:rPr>
              <w:t xml:space="preserve"> comme un instrument d’appui au développement des projets innovants dans </w:t>
            </w:r>
            <w:r>
              <w:rPr>
                <w:rFonts w:cs="Arial"/>
                <w:bCs/>
                <w:sz w:val="18"/>
                <w:szCs w:val="18"/>
                <w:lang w:val="fr-FR"/>
              </w:rPr>
              <w:t>l</w:t>
            </w:r>
            <w:r w:rsidRPr="00AD1082">
              <w:rPr>
                <w:rFonts w:cs="Arial"/>
                <w:bCs/>
                <w:sz w:val="18"/>
                <w:szCs w:val="18"/>
                <w:lang w:val="fr-FR"/>
              </w:rPr>
              <w:t>es secteurs stratégiques et à fort impact socio-économique</w:t>
            </w:r>
            <w:r>
              <w:rPr>
                <w:rFonts w:cs="Arial"/>
                <w:bCs/>
                <w:sz w:val="18"/>
                <w:szCs w:val="18"/>
                <w:lang w:val="fr-FR"/>
              </w:rPr>
              <w:t xml:space="preserve"> </w:t>
            </w:r>
            <w:r w:rsidRPr="00AD1082">
              <w:rPr>
                <w:rFonts w:cs="Arial"/>
                <w:bCs/>
                <w:sz w:val="18"/>
                <w:szCs w:val="18"/>
                <w:lang w:val="fr-FR"/>
              </w:rPr>
              <w:t>tels que : tourisme durable, écotechnologies, agrobusiness, transition énergétique, robotique et intelligence artificielle, pharmacopée, contenus multimédias et transformation des industries culturelles et créatives.</w:t>
            </w:r>
          </w:p>
          <w:p w14:paraId="26409DFD" w14:textId="583508A8" w:rsidR="00E948B4" w:rsidRPr="00E948B4" w:rsidRDefault="00E948B4" w:rsidP="00D5471E">
            <w:pPr>
              <w:rPr>
                <w:rFonts w:cs="Arial"/>
                <w:b/>
                <w:sz w:val="20"/>
                <w:szCs w:val="20"/>
                <w:lang w:val="fr-FR"/>
              </w:rPr>
            </w:pPr>
            <w:r w:rsidRPr="00AD1082">
              <w:rPr>
                <w:rFonts w:cs="Arial"/>
                <w:bCs/>
                <w:sz w:val="18"/>
                <w:szCs w:val="18"/>
                <w:lang w:val="fr-FR"/>
              </w:rPr>
              <w:t xml:space="preserve">Sur la base des 3 000 jeunes béninois sélectionnés à l'entrepreneuriat, le Projet entend </w:t>
            </w:r>
            <w:r>
              <w:rPr>
                <w:rFonts w:cs="Arial"/>
                <w:bCs/>
                <w:sz w:val="18"/>
                <w:szCs w:val="18"/>
                <w:lang w:val="fr-FR"/>
              </w:rPr>
              <w:t>apporter un financement initial de 5,000$ à</w:t>
            </w:r>
            <w:r w:rsidRPr="00AD1082">
              <w:rPr>
                <w:rFonts w:cs="Arial"/>
                <w:bCs/>
                <w:sz w:val="18"/>
                <w:szCs w:val="18"/>
                <w:lang w:val="fr-FR"/>
              </w:rPr>
              <w:t xml:space="preserve"> </w:t>
            </w:r>
            <w:r>
              <w:rPr>
                <w:rFonts w:cs="Arial"/>
                <w:bCs/>
                <w:sz w:val="18"/>
                <w:szCs w:val="18"/>
                <w:lang w:val="fr-FR"/>
              </w:rPr>
              <w:t xml:space="preserve">189 entrepreneurs </w:t>
            </w:r>
            <w:r w:rsidRPr="00AD1082">
              <w:rPr>
                <w:rFonts w:cs="Arial"/>
                <w:bCs/>
                <w:sz w:val="18"/>
                <w:szCs w:val="18"/>
                <w:lang w:val="fr-FR"/>
              </w:rPr>
              <w:t xml:space="preserve">afin de leur </w:t>
            </w:r>
            <w:r>
              <w:rPr>
                <w:rFonts w:cs="Arial"/>
                <w:bCs/>
                <w:sz w:val="18"/>
                <w:szCs w:val="18"/>
                <w:lang w:val="fr-FR"/>
              </w:rPr>
              <w:t>donner la possibilité</w:t>
            </w:r>
            <w:r w:rsidRPr="00AD1082">
              <w:rPr>
                <w:rFonts w:cs="Arial"/>
                <w:bCs/>
                <w:sz w:val="18"/>
                <w:szCs w:val="18"/>
                <w:lang w:val="fr-FR"/>
              </w:rPr>
              <w:t xml:space="preserve"> de relever le défi de l’innovation dans le contexte de COVID à travers la mise en place d’entreprises</w:t>
            </w:r>
            <w:r>
              <w:rPr>
                <w:rFonts w:cs="Arial"/>
                <w:bCs/>
                <w:sz w:val="18"/>
                <w:szCs w:val="18"/>
                <w:lang w:val="fr-FR"/>
              </w:rPr>
              <w:t xml:space="preserve"> fortes</w:t>
            </w:r>
            <w:r w:rsidRPr="00AD1082">
              <w:rPr>
                <w:rFonts w:cs="Arial"/>
                <w:bCs/>
                <w:sz w:val="18"/>
                <w:szCs w:val="18"/>
                <w:lang w:val="fr-FR"/>
              </w:rPr>
              <w:t>.</w:t>
            </w:r>
          </w:p>
        </w:tc>
      </w:tr>
    </w:tbl>
    <w:p w14:paraId="7C4E5E4C" w14:textId="339BEA02" w:rsidR="00D5471E" w:rsidRPr="00E948B4" w:rsidRDefault="00D5471E" w:rsidP="00E544C1">
      <w:pPr>
        <w:spacing w:line="276" w:lineRule="auto"/>
        <w:rPr>
          <w:rFonts w:cs="Arial"/>
          <w:b/>
          <w:sz w:val="20"/>
          <w:szCs w:val="20"/>
          <w:lang w:val="fr-FR"/>
        </w:rPr>
      </w:pPr>
    </w:p>
    <w:tbl>
      <w:tblPr>
        <w:tblStyle w:val="Grilledutableau"/>
        <w:tblW w:w="0" w:type="auto"/>
        <w:tblLook w:val="04A0" w:firstRow="1" w:lastRow="0" w:firstColumn="1" w:lastColumn="0" w:noHBand="0" w:noVBand="1"/>
      </w:tblPr>
      <w:tblGrid>
        <w:gridCol w:w="4796"/>
        <w:gridCol w:w="4796"/>
      </w:tblGrid>
      <w:tr w:rsidR="00D5471E" w:rsidRPr="00E948B4" w14:paraId="1D62FFFA" w14:textId="77777777" w:rsidTr="00D5471E">
        <w:tc>
          <w:tcPr>
            <w:tcW w:w="4796" w:type="dxa"/>
          </w:tcPr>
          <w:p w14:paraId="7A02E86B" w14:textId="39A965D5" w:rsidR="00D5471E" w:rsidRPr="00E948B4" w:rsidRDefault="00D5471E" w:rsidP="00D5471E">
            <w:pPr>
              <w:spacing w:after="0"/>
              <w:rPr>
                <w:rFonts w:cs="Arial"/>
                <w:sz w:val="20"/>
                <w:szCs w:val="20"/>
                <w:lang w:val="fr-FR"/>
              </w:rPr>
            </w:pPr>
            <w:r w:rsidRPr="00E948B4">
              <w:rPr>
                <w:rFonts w:cs="Arial"/>
                <w:sz w:val="20"/>
                <w:szCs w:val="20"/>
                <w:lang w:val="fr-FR"/>
              </w:rPr>
              <w:t>P</w:t>
            </w:r>
            <w:r w:rsidR="00110EBE" w:rsidRPr="00E948B4">
              <w:rPr>
                <w:rFonts w:cs="Arial"/>
                <w:sz w:val="20"/>
                <w:szCs w:val="20"/>
                <w:lang w:val="fr-FR"/>
              </w:rPr>
              <w:t xml:space="preserve">ériode de mise en </w:t>
            </w:r>
            <w:r w:rsidR="009C7B25" w:rsidRPr="00E948B4">
              <w:rPr>
                <w:rFonts w:cs="Arial"/>
                <w:sz w:val="20"/>
                <w:szCs w:val="20"/>
                <w:lang w:val="fr-FR"/>
              </w:rPr>
              <w:t>œuvre</w:t>
            </w:r>
            <w:r w:rsidR="00110EBE" w:rsidRPr="00E948B4">
              <w:rPr>
                <w:rFonts w:cs="Arial"/>
                <w:sz w:val="20"/>
                <w:szCs w:val="20"/>
                <w:lang w:val="fr-FR"/>
              </w:rPr>
              <w:t xml:space="preserve"> : </w:t>
            </w:r>
            <w:r w:rsidR="00E948B4" w:rsidRPr="00E948B4">
              <w:rPr>
                <w:rFonts w:cs="Arial"/>
                <w:sz w:val="20"/>
                <w:szCs w:val="20"/>
                <w:lang w:val="fr-FR"/>
              </w:rPr>
              <w:t>15 novembre</w:t>
            </w:r>
            <w:r w:rsidR="005352CD">
              <w:rPr>
                <w:rFonts w:cs="Arial"/>
                <w:sz w:val="20"/>
                <w:szCs w:val="20"/>
                <w:lang w:val="fr-FR"/>
              </w:rPr>
              <w:t xml:space="preserve"> 2021</w:t>
            </w:r>
            <w:r w:rsidRPr="00E948B4">
              <w:rPr>
                <w:rFonts w:cs="Arial"/>
                <w:sz w:val="20"/>
                <w:szCs w:val="20"/>
                <w:lang w:val="fr-FR"/>
              </w:rPr>
              <w:t xml:space="preserve"> – </w:t>
            </w:r>
            <w:r w:rsidR="005352CD">
              <w:rPr>
                <w:rFonts w:cs="Arial"/>
                <w:sz w:val="20"/>
                <w:szCs w:val="20"/>
                <w:lang w:val="fr-FR"/>
              </w:rPr>
              <w:t xml:space="preserve">31 </w:t>
            </w:r>
            <w:r w:rsidR="00E948B4" w:rsidRPr="00E948B4">
              <w:rPr>
                <w:rFonts w:cs="Arial"/>
                <w:sz w:val="20"/>
                <w:szCs w:val="20"/>
                <w:lang w:val="fr-FR"/>
              </w:rPr>
              <w:t xml:space="preserve">décembre </w:t>
            </w:r>
            <w:r w:rsidRPr="00E948B4">
              <w:rPr>
                <w:rFonts w:cs="Arial"/>
                <w:sz w:val="20"/>
                <w:szCs w:val="20"/>
                <w:lang w:val="fr-FR"/>
              </w:rPr>
              <w:t>2021</w:t>
            </w:r>
          </w:p>
          <w:p w14:paraId="5C9B3F77" w14:textId="77777777" w:rsidR="00D5471E" w:rsidRPr="00E948B4" w:rsidRDefault="00D5471E" w:rsidP="00D5471E">
            <w:pPr>
              <w:spacing w:after="0"/>
              <w:rPr>
                <w:rFonts w:cs="Arial"/>
                <w:sz w:val="20"/>
                <w:szCs w:val="20"/>
                <w:lang w:val="fr-FR"/>
              </w:rPr>
            </w:pPr>
          </w:p>
          <w:p w14:paraId="4ADE95F7" w14:textId="5813EF19" w:rsidR="00D5471E" w:rsidRPr="00E948B4" w:rsidRDefault="00E948B4" w:rsidP="00D5471E">
            <w:pPr>
              <w:spacing w:after="0"/>
              <w:rPr>
                <w:rFonts w:cs="Arial"/>
                <w:sz w:val="20"/>
                <w:szCs w:val="20"/>
                <w:lang w:val="fr-FR"/>
              </w:rPr>
            </w:pPr>
            <w:r w:rsidRPr="00E948B4">
              <w:rPr>
                <w:rFonts w:cs="Arial"/>
                <w:sz w:val="20"/>
                <w:szCs w:val="20"/>
                <w:lang w:val="fr-FR"/>
              </w:rPr>
              <w:t xml:space="preserve">Numéro </w:t>
            </w:r>
            <w:r w:rsidR="00D5471E" w:rsidRPr="00E948B4">
              <w:rPr>
                <w:rFonts w:cs="Arial"/>
                <w:sz w:val="20"/>
                <w:szCs w:val="20"/>
                <w:lang w:val="fr-FR"/>
              </w:rPr>
              <w:t xml:space="preserve">Atlas </w:t>
            </w:r>
            <w:r w:rsidRPr="00E948B4">
              <w:rPr>
                <w:rFonts w:cs="Arial"/>
                <w:sz w:val="20"/>
                <w:szCs w:val="20"/>
                <w:lang w:val="fr-FR"/>
              </w:rPr>
              <w:t>du Projet :</w:t>
            </w:r>
            <w:r w:rsidR="00D5471E" w:rsidRPr="00E948B4">
              <w:rPr>
                <w:rFonts w:cs="Arial"/>
                <w:sz w:val="20"/>
                <w:szCs w:val="20"/>
                <w:lang w:val="fr-FR"/>
              </w:rPr>
              <w:tab/>
              <w:t>______________</w:t>
            </w:r>
          </w:p>
          <w:p w14:paraId="0614D41C" w14:textId="77777777" w:rsidR="00E948B4" w:rsidRPr="00E948B4" w:rsidRDefault="00E948B4" w:rsidP="00D5471E">
            <w:pPr>
              <w:pStyle w:val="Notedebasdepage"/>
              <w:spacing w:before="120" w:after="0"/>
              <w:rPr>
                <w:rFonts w:ascii="Arial" w:hAnsi="Arial" w:cs="Arial"/>
                <w:sz w:val="20"/>
                <w:lang w:val="fr-FR"/>
              </w:rPr>
            </w:pPr>
          </w:p>
          <w:p w14:paraId="582C077C" w14:textId="06572430" w:rsidR="00D5471E" w:rsidRPr="00E948B4" w:rsidRDefault="00D5471E" w:rsidP="00D5471E">
            <w:pPr>
              <w:pStyle w:val="Notedebasdepage"/>
              <w:spacing w:before="120" w:after="0"/>
              <w:rPr>
                <w:rFonts w:ascii="Arial" w:hAnsi="Arial" w:cs="Arial"/>
                <w:sz w:val="20"/>
                <w:lang w:val="fr-FR"/>
              </w:rPr>
            </w:pPr>
            <w:r w:rsidRPr="00E948B4">
              <w:rPr>
                <w:rFonts w:ascii="Arial" w:hAnsi="Arial" w:cs="Arial"/>
                <w:sz w:val="20"/>
                <w:lang w:val="fr-FR"/>
              </w:rPr>
              <w:t xml:space="preserve">Atlas Output </w:t>
            </w:r>
            <w:r w:rsidR="00E948B4" w:rsidRPr="00E948B4">
              <w:rPr>
                <w:rFonts w:ascii="Arial" w:hAnsi="Arial" w:cs="Arial"/>
                <w:sz w:val="20"/>
                <w:lang w:val="fr-FR"/>
              </w:rPr>
              <w:t>ID :</w:t>
            </w:r>
            <w:r w:rsidRPr="00E948B4">
              <w:rPr>
                <w:rFonts w:ascii="Arial" w:hAnsi="Arial" w:cs="Arial"/>
                <w:sz w:val="20"/>
                <w:lang w:val="fr-FR"/>
              </w:rPr>
              <w:tab/>
            </w:r>
            <w:r w:rsidRPr="00E948B4">
              <w:rPr>
                <w:rFonts w:ascii="Arial" w:hAnsi="Arial" w:cs="Arial"/>
                <w:sz w:val="20"/>
                <w:lang w:val="fr-FR"/>
              </w:rPr>
              <w:tab/>
              <w:t>______________</w:t>
            </w:r>
          </w:p>
          <w:p w14:paraId="2C280953" w14:textId="77777777" w:rsidR="00D5471E" w:rsidRPr="00E948B4" w:rsidRDefault="00D5471E" w:rsidP="00D5471E">
            <w:pPr>
              <w:pStyle w:val="Notedebasdepage"/>
              <w:spacing w:after="0"/>
              <w:rPr>
                <w:rFonts w:ascii="Arial" w:hAnsi="Arial" w:cs="Arial"/>
                <w:sz w:val="20"/>
                <w:lang w:val="fr-FR"/>
              </w:rPr>
            </w:pPr>
          </w:p>
          <w:p w14:paraId="428A74FB" w14:textId="77777777" w:rsidR="00E948B4" w:rsidRPr="00E948B4" w:rsidRDefault="00E948B4" w:rsidP="00D5471E">
            <w:pPr>
              <w:pStyle w:val="Notedebasdepage"/>
              <w:spacing w:after="0"/>
              <w:rPr>
                <w:rFonts w:ascii="Arial" w:hAnsi="Arial" w:cs="Arial"/>
                <w:sz w:val="20"/>
                <w:lang w:val="fr-FR"/>
              </w:rPr>
            </w:pPr>
          </w:p>
          <w:p w14:paraId="16FA7080" w14:textId="53E08538" w:rsidR="00D5471E" w:rsidRPr="00E948B4" w:rsidRDefault="00E948B4" w:rsidP="00D5471E">
            <w:pPr>
              <w:pStyle w:val="Notedebasdepage"/>
              <w:spacing w:after="0"/>
              <w:rPr>
                <w:rFonts w:ascii="Arial" w:hAnsi="Arial" w:cs="Arial"/>
                <w:sz w:val="20"/>
                <w:lang w:val="fr-FR"/>
              </w:rPr>
            </w:pPr>
            <w:r w:rsidRPr="00E948B4">
              <w:rPr>
                <w:rFonts w:ascii="Arial" w:hAnsi="Arial" w:cs="Arial"/>
                <w:sz w:val="20"/>
                <w:lang w:val="fr-FR"/>
              </w:rPr>
              <w:t xml:space="preserve">Marqueur Genre </w:t>
            </w:r>
            <w:r w:rsidR="00D5471E" w:rsidRPr="00E948B4">
              <w:rPr>
                <w:rFonts w:ascii="Arial" w:hAnsi="Arial" w:cs="Arial"/>
                <w:sz w:val="20"/>
                <w:lang w:val="fr-FR"/>
              </w:rPr>
              <w:t>:</w:t>
            </w:r>
            <w:r w:rsidR="00D5471E" w:rsidRPr="00E948B4">
              <w:rPr>
                <w:rFonts w:ascii="Arial" w:hAnsi="Arial" w:cs="Arial"/>
                <w:sz w:val="20"/>
                <w:lang w:val="fr-FR"/>
              </w:rPr>
              <w:tab/>
            </w:r>
            <w:r w:rsidR="00D5471E" w:rsidRPr="00E948B4">
              <w:rPr>
                <w:rFonts w:ascii="Arial" w:hAnsi="Arial" w:cs="Arial"/>
                <w:sz w:val="20"/>
                <w:lang w:val="fr-FR"/>
              </w:rPr>
              <w:tab/>
              <w:t>______________</w:t>
            </w:r>
          </w:p>
          <w:p w14:paraId="0506229A" w14:textId="77777777" w:rsidR="00D5471E" w:rsidRPr="00E948B4" w:rsidRDefault="00D5471E" w:rsidP="00E544C1">
            <w:pPr>
              <w:spacing w:line="276" w:lineRule="auto"/>
              <w:rPr>
                <w:rFonts w:cs="Arial"/>
                <w:b/>
                <w:sz w:val="20"/>
                <w:szCs w:val="20"/>
                <w:lang w:val="fr-FR"/>
              </w:rPr>
            </w:pPr>
          </w:p>
        </w:tc>
        <w:tc>
          <w:tcPr>
            <w:tcW w:w="4796" w:type="dxa"/>
          </w:tcPr>
          <w:p w14:paraId="23A1D84E" w14:textId="208183AD" w:rsidR="00D5471E" w:rsidRPr="00E948B4" w:rsidRDefault="00D5471E" w:rsidP="00D5471E">
            <w:pPr>
              <w:rPr>
                <w:rFonts w:cs="Arial"/>
                <w:sz w:val="20"/>
                <w:lang w:val="fr-FR"/>
              </w:rPr>
            </w:pPr>
            <w:r w:rsidRPr="00E948B4">
              <w:rPr>
                <w:rFonts w:cs="Arial"/>
                <w:sz w:val="20"/>
                <w:lang w:val="fr-FR"/>
              </w:rPr>
              <w:t xml:space="preserve">Total </w:t>
            </w:r>
            <w:r w:rsidR="00E948B4" w:rsidRPr="00E948B4">
              <w:rPr>
                <w:rFonts w:cs="Arial"/>
                <w:sz w:val="20"/>
                <w:lang w:val="fr-FR"/>
              </w:rPr>
              <w:t>ressources</w:t>
            </w:r>
            <w:r w:rsidRPr="00E948B4">
              <w:rPr>
                <w:rFonts w:cs="Arial"/>
                <w:sz w:val="20"/>
                <w:lang w:val="fr-FR"/>
              </w:rPr>
              <w:t xml:space="preserve"> </w:t>
            </w:r>
            <w:r w:rsidR="00E948B4">
              <w:rPr>
                <w:rFonts w:cs="Arial"/>
                <w:sz w:val="20"/>
                <w:lang w:val="fr-FR"/>
              </w:rPr>
              <w:t>nécessaires :</w:t>
            </w:r>
            <w:r w:rsidRPr="00E948B4">
              <w:rPr>
                <w:rFonts w:cs="Arial"/>
                <w:sz w:val="20"/>
                <w:lang w:val="fr-FR"/>
              </w:rPr>
              <w:t xml:space="preserve">          $</w:t>
            </w:r>
            <w:r w:rsidR="00921323" w:rsidRPr="00E948B4">
              <w:rPr>
                <w:rFonts w:cs="Arial"/>
                <w:sz w:val="20"/>
                <w:lang w:val="fr-FR"/>
              </w:rPr>
              <w:t>1,000,000</w:t>
            </w:r>
          </w:p>
          <w:p w14:paraId="751945F9" w14:textId="77777777" w:rsidR="00E948B4" w:rsidRPr="00E948B4" w:rsidRDefault="00E948B4" w:rsidP="00D5471E">
            <w:pPr>
              <w:jc w:val="left"/>
              <w:rPr>
                <w:rFonts w:cs="Arial"/>
                <w:sz w:val="20"/>
                <w:lang w:val="fr-FR"/>
              </w:rPr>
            </w:pPr>
          </w:p>
          <w:p w14:paraId="12F3FE6E" w14:textId="4DF822DD" w:rsidR="00D5471E" w:rsidRPr="00E948B4" w:rsidRDefault="00D5471E" w:rsidP="00D5471E">
            <w:pPr>
              <w:jc w:val="left"/>
              <w:rPr>
                <w:rFonts w:cs="Arial"/>
                <w:sz w:val="20"/>
                <w:lang w:val="fr-FR"/>
              </w:rPr>
            </w:pPr>
            <w:r w:rsidRPr="00E948B4">
              <w:rPr>
                <w:rFonts w:cs="Arial"/>
                <w:sz w:val="20"/>
                <w:lang w:val="fr-FR"/>
              </w:rPr>
              <w:t xml:space="preserve">Total </w:t>
            </w:r>
            <w:r w:rsidR="00E948B4" w:rsidRPr="00E948B4">
              <w:rPr>
                <w:rFonts w:cs="Arial"/>
                <w:sz w:val="20"/>
                <w:lang w:val="fr-FR"/>
              </w:rPr>
              <w:t>ressources</w:t>
            </w:r>
            <w:r w:rsidR="004068EB" w:rsidRPr="00E948B4">
              <w:rPr>
                <w:rFonts w:cs="Arial"/>
                <w:sz w:val="20"/>
                <w:lang w:val="fr-FR"/>
              </w:rPr>
              <w:t xml:space="preserve"> allouées </w:t>
            </w:r>
            <w:r w:rsidRPr="00E948B4">
              <w:rPr>
                <w:rFonts w:cs="Arial"/>
                <w:sz w:val="20"/>
                <w:lang w:val="fr-FR"/>
              </w:rPr>
              <w:t>:</w:t>
            </w:r>
            <w:r w:rsidRPr="00E948B4">
              <w:rPr>
                <w:rFonts w:cs="Arial"/>
                <w:sz w:val="20"/>
                <w:lang w:val="fr-FR"/>
              </w:rPr>
              <w:tab/>
            </w:r>
          </w:p>
          <w:p w14:paraId="3574907D" w14:textId="0973067F" w:rsidR="00D5471E" w:rsidRPr="00E948B4" w:rsidRDefault="00D5471E" w:rsidP="00D5471E">
            <w:pPr>
              <w:numPr>
                <w:ilvl w:val="0"/>
                <w:numId w:val="2"/>
              </w:numPr>
              <w:tabs>
                <w:tab w:val="clear" w:pos="1080"/>
                <w:tab w:val="num" w:pos="720"/>
              </w:tabs>
              <w:spacing w:after="0"/>
              <w:ind w:left="360"/>
              <w:jc w:val="left"/>
              <w:rPr>
                <w:rFonts w:cs="Arial"/>
                <w:lang w:val="fr-FR"/>
              </w:rPr>
            </w:pPr>
            <w:r w:rsidRPr="00E948B4">
              <w:rPr>
                <w:rFonts w:cs="Arial"/>
                <w:sz w:val="20"/>
                <w:lang w:val="fr-FR"/>
              </w:rPr>
              <w:t>Regular</w:t>
            </w:r>
            <w:r w:rsidRPr="00E948B4">
              <w:rPr>
                <w:rFonts w:cs="Arial"/>
                <w:sz w:val="20"/>
                <w:lang w:val="fr-FR"/>
              </w:rPr>
              <w:tab/>
            </w:r>
            <w:r w:rsidRPr="00E948B4">
              <w:rPr>
                <w:rFonts w:cs="Arial"/>
                <w:sz w:val="20"/>
                <w:lang w:val="fr-FR"/>
              </w:rPr>
              <w:tab/>
            </w:r>
            <w:r w:rsidRPr="00E948B4">
              <w:rPr>
                <w:rFonts w:cs="Arial"/>
                <w:sz w:val="20"/>
                <w:lang w:val="fr-FR"/>
              </w:rPr>
              <w:tab/>
            </w:r>
            <w:r w:rsidR="004068EB" w:rsidRPr="00E948B4">
              <w:rPr>
                <w:rFonts w:cs="Arial"/>
                <w:sz w:val="20"/>
                <w:lang w:val="fr-FR"/>
              </w:rPr>
              <w:t>$1,000,000</w:t>
            </w:r>
          </w:p>
          <w:p w14:paraId="53D7CCAC" w14:textId="4F0FAFC1" w:rsidR="00D5471E" w:rsidRPr="00E948B4" w:rsidRDefault="00E948B4" w:rsidP="00D5471E">
            <w:pPr>
              <w:numPr>
                <w:ilvl w:val="0"/>
                <w:numId w:val="2"/>
              </w:numPr>
              <w:tabs>
                <w:tab w:val="clear" w:pos="1080"/>
                <w:tab w:val="num" w:pos="720"/>
              </w:tabs>
              <w:spacing w:after="0"/>
              <w:ind w:left="360"/>
              <w:jc w:val="left"/>
              <w:rPr>
                <w:rFonts w:cs="Arial"/>
                <w:lang w:val="fr-FR"/>
              </w:rPr>
            </w:pPr>
            <w:r>
              <w:rPr>
                <w:rFonts w:cs="Arial"/>
                <w:sz w:val="20"/>
                <w:lang w:val="fr-FR"/>
              </w:rPr>
              <w:t xml:space="preserve">Autre </w:t>
            </w:r>
            <w:r w:rsidR="00D5471E" w:rsidRPr="00E948B4">
              <w:rPr>
                <w:rFonts w:cs="Arial"/>
                <w:sz w:val="20"/>
                <w:lang w:val="fr-FR"/>
              </w:rPr>
              <w:t>:</w:t>
            </w:r>
          </w:p>
          <w:p w14:paraId="18D3C458" w14:textId="2A06D9CA" w:rsidR="00D5471E" w:rsidRPr="00E948B4" w:rsidRDefault="00D5471E" w:rsidP="00D5471E">
            <w:pPr>
              <w:numPr>
                <w:ilvl w:val="1"/>
                <w:numId w:val="2"/>
              </w:numPr>
              <w:tabs>
                <w:tab w:val="clear" w:pos="2160"/>
                <w:tab w:val="num" w:pos="1260"/>
              </w:tabs>
              <w:spacing w:after="0"/>
              <w:ind w:left="1080"/>
              <w:jc w:val="left"/>
              <w:rPr>
                <w:rFonts w:cs="Arial"/>
                <w:lang w:val="fr-FR"/>
              </w:rPr>
            </w:pPr>
            <w:r w:rsidRPr="00E948B4">
              <w:rPr>
                <w:rFonts w:cs="Arial"/>
                <w:sz w:val="20"/>
                <w:lang w:val="fr-FR"/>
              </w:rPr>
              <w:t>TEF</w:t>
            </w:r>
            <w:r w:rsidRPr="00E948B4">
              <w:rPr>
                <w:rFonts w:cs="Arial"/>
                <w:sz w:val="20"/>
                <w:lang w:val="fr-FR"/>
              </w:rPr>
              <w:tab/>
            </w:r>
            <w:r w:rsidRPr="00E948B4">
              <w:rPr>
                <w:rFonts w:cs="Arial"/>
                <w:sz w:val="20"/>
                <w:lang w:val="fr-FR"/>
              </w:rPr>
              <w:tab/>
            </w:r>
          </w:p>
          <w:p w14:paraId="0F201FFD" w14:textId="6C9B74AD" w:rsidR="00D5471E" w:rsidRPr="00E948B4" w:rsidRDefault="00E948B4" w:rsidP="00D5471E">
            <w:pPr>
              <w:numPr>
                <w:ilvl w:val="1"/>
                <w:numId w:val="2"/>
              </w:numPr>
              <w:tabs>
                <w:tab w:val="clear" w:pos="2160"/>
                <w:tab w:val="num" w:pos="1260"/>
              </w:tabs>
              <w:spacing w:after="0"/>
              <w:ind w:left="1080"/>
              <w:jc w:val="left"/>
              <w:rPr>
                <w:rFonts w:cs="Arial"/>
                <w:lang w:val="fr-FR"/>
              </w:rPr>
            </w:pPr>
            <w:r>
              <w:rPr>
                <w:rFonts w:cs="Arial"/>
                <w:sz w:val="20"/>
                <w:lang w:val="fr-FR"/>
              </w:rPr>
              <w:t>Donateur</w:t>
            </w:r>
          </w:p>
          <w:p w14:paraId="5E77F357" w14:textId="53F443D0" w:rsidR="00D5471E" w:rsidRPr="00E948B4" w:rsidRDefault="00E948B4" w:rsidP="00D5471E">
            <w:pPr>
              <w:numPr>
                <w:ilvl w:val="1"/>
                <w:numId w:val="2"/>
              </w:numPr>
              <w:tabs>
                <w:tab w:val="clear" w:pos="2160"/>
                <w:tab w:val="num" w:pos="540"/>
                <w:tab w:val="num" w:pos="1260"/>
              </w:tabs>
              <w:spacing w:after="0"/>
              <w:ind w:left="1080"/>
              <w:jc w:val="left"/>
              <w:rPr>
                <w:rFonts w:cs="Arial"/>
                <w:lang w:val="fr-FR"/>
              </w:rPr>
            </w:pPr>
            <w:r w:rsidRPr="00E948B4">
              <w:rPr>
                <w:rFonts w:cs="Arial"/>
                <w:sz w:val="20"/>
                <w:lang w:val="fr-FR"/>
              </w:rPr>
              <w:t>Gouvernement</w:t>
            </w:r>
            <w:r w:rsidR="00D5471E" w:rsidRPr="00E948B4">
              <w:rPr>
                <w:rFonts w:cs="Arial"/>
                <w:sz w:val="20"/>
                <w:lang w:val="fr-FR"/>
              </w:rPr>
              <w:tab/>
              <w:t>_________</w:t>
            </w:r>
          </w:p>
          <w:p w14:paraId="3ABF46EB" w14:textId="6CDA6B83" w:rsidR="00D5471E" w:rsidRPr="00E948B4" w:rsidRDefault="000A5A97" w:rsidP="00D5471E">
            <w:pPr>
              <w:rPr>
                <w:rFonts w:cs="Arial"/>
                <w:sz w:val="20"/>
                <w:lang w:val="fr-FR"/>
              </w:rPr>
            </w:pPr>
            <w:r>
              <w:rPr>
                <w:rFonts w:cs="Arial"/>
                <w:sz w:val="20"/>
                <w:lang w:val="fr-FR"/>
              </w:rPr>
              <w:t xml:space="preserve">Budget non financé </w:t>
            </w:r>
            <w:r w:rsidR="00D5471E" w:rsidRPr="00E948B4">
              <w:rPr>
                <w:rFonts w:cs="Arial"/>
                <w:sz w:val="20"/>
                <w:lang w:val="fr-FR"/>
              </w:rPr>
              <w:t>:</w:t>
            </w:r>
            <w:r w:rsidR="00D5471E" w:rsidRPr="00E948B4">
              <w:rPr>
                <w:rFonts w:cs="Arial"/>
                <w:sz w:val="20"/>
                <w:lang w:val="fr-FR"/>
              </w:rPr>
              <w:tab/>
            </w:r>
            <w:r w:rsidR="00D5471E" w:rsidRPr="00E948B4">
              <w:rPr>
                <w:rFonts w:cs="Arial"/>
                <w:sz w:val="20"/>
                <w:lang w:val="fr-FR"/>
              </w:rPr>
              <w:tab/>
              <w:t>_________</w:t>
            </w:r>
          </w:p>
          <w:p w14:paraId="576A2039" w14:textId="0497D7F9" w:rsidR="00D5471E" w:rsidRPr="00E948B4" w:rsidRDefault="000A5A97" w:rsidP="00921323">
            <w:pPr>
              <w:rPr>
                <w:rFonts w:cs="Arial"/>
                <w:sz w:val="20"/>
                <w:lang w:val="fr-FR"/>
              </w:rPr>
            </w:pPr>
            <w:r>
              <w:rPr>
                <w:rFonts w:cs="Arial"/>
                <w:sz w:val="20"/>
                <w:lang w:val="fr-FR"/>
              </w:rPr>
              <w:t>Contributions en nature :</w:t>
            </w:r>
            <w:r w:rsidR="00D5471E" w:rsidRPr="00E948B4">
              <w:rPr>
                <w:rFonts w:cs="Arial"/>
                <w:sz w:val="20"/>
                <w:lang w:val="fr-FR"/>
              </w:rPr>
              <w:tab/>
              <w:t>_________</w:t>
            </w:r>
          </w:p>
        </w:tc>
      </w:tr>
    </w:tbl>
    <w:p w14:paraId="4ADECD89" w14:textId="77777777" w:rsidR="00F4635B" w:rsidRPr="00CB39AD" w:rsidRDefault="00F4635B" w:rsidP="00CB39AD">
      <w:pPr>
        <w:spacing w:line="276" w:lineRule="auto"/>
        <w:rPr>
          <w:rFonts w:ascii="Times New Roman" w:hAnsi="Times New Roman"/>
          <w:sz w:val="21"/>
          <w:szCs w:val="21"/>
        </w:rPr>
      </w:pPr>
    </w:p>
    <w:p w14:paraId="1E910287" w14:textId="4B1758CE" w:rsidR="00894D47" w:rsidRPr="000A5A97" w:rsidRDefault="004068EB" w:rsidP="000A5A97">
      <w:pPr>
        <w:pBdr>
          <w:bottom w:val="single" w:sz="4" w:space="1" w:color="auto"/>
        </w:pBdr>
        <w:spacing w:line="276" w:lineRule="auto"/>
        <w:rPr>
          <w:rFonts w:cs="Arial"/>
          <w:b/>
          <w:bCs/>
          <w:sz w:val="24"/>
          <w:lang w:val="fr-FR"/>
        </w:rPr>
      </w:pPr>
      <w:r w:rsidRPr="000A5A97">
        <w:rPr>
          <w:rFonts w:cs="Arial"/>
          <w:b/>
          <w:bCs/>
          <w:sz w:val="24"/>
          <w:lang w:val="fr-FR"/>
        </w:rPr>
        <w:t>A</w:t>
      </w:r>
      <w:r w:rsidR="000A5A97" w:rsidRPr="000A5A97">
        <w:rPr>
          <w:rFonts w:cs="Arial"/>
          <w:b/>
          <w:bCs/>
          <w:sz w:val="24"/>
          <w:lang w:val="fr-FR"/>
        </w:rPr>
        <w:t>pprouvé par</w:t>
      </w:r>
      <w:r w:rsidRPr="000A5A97">
        <w:rPr>
          <w:rFonts w:cs="Arial"/>
          <w:b/>
          <w:bCs/>
          <w:sz w:val="24"/>
          <w:lang w:val="fr-FR"/>
        </w:rPr>
        <w:t xml:space="preserve"> PNUD </w:t>
      </w:r>
      <w:r w:rsidR="00A64F0F" w:rsidRPr="000A5A97">
        <w:rPr>
          <w:rFonts w:cs="Arial"/>
          <w:b/>
          <w:bCs/>
          <w:sz w:val="24"/>
          <w:lang w:val="fr-FR"/>
        </w:rPr>
        <w:t>:</w:t>
      </w:r>
    </w:p>
    <w:p w14:paraId="3C1AB9D4" w14:textId="52623A79" w:rsidR="00F4635B" w:rsidRPr="000A5A97" w:rsidRDefault="003A0064" w:rsidP="008A3579">
      <w:pPr>
        <w:pStyle w:val="Titre1"/>
        <w:spacing w:before="120" w:after="120" w:line="276" w:lineRule="auto"/>
        <w:rPr>
          <w:rFonts w:ascii="Arial" w:hAnsi="Arial" w:cs="Arial"/>
          <w:szCs w:val="28"/>
          <w:lang w:val="fr-FR"/>
        </w:rPr>
      </w:pPr>
      <w:r w:rsidRPr="000A5A97">
        <w:rPr>
          <w:rFonts w:ascii="Arial" w:hAnsi="Arial" w:cs="Arial"/>
          <w:szCs w:val="28"/>
          <w:lang w:val="fr-FR"/>
        </w:rPr>
        <w:lastRenderedPageBreak/>
        <w:t xml:space="preserve">objectifs et </w:t>
      </w:r>
      <w:r w:rsidR="000A5A97" w:rsidRPr="000A5A97">
        <w:rPr>
          <w:rFonts w:ascii="Arial" w:hAnsi="Arial" w:cs="Arial"/>
          <w:szCs w:val="28"/>
          <w:lang w:val="fr-FR"/>
        </w:rPr>
        <w:t>résultats</w:t>
      </w:r>
      <w:r w:rsidRPr="000A5A97">
        <w:rPr>
          <w:rFonts w:ascii="Arial" w:hAnsi="Arial" w:cs="Arial"/>
          <w:szCs w:val="28"/>
          <w:lang w:val="fr-FR"/>
        </w:rPr>
        <w:t xml:space="preserve"> attendus</w:t>
      </w:r>
    </w:p>
    <w:p w14:paraId="125C8303" w14:textId="30431A3E" w:rsidR="00D07CB3" w:rsidRPr="000A5A97" w:rsidRDefault="00EE28D3" w:rsidP="000A5A97">
      <w:pPr>
        <w:spacing w:before="240" w:after="120" w:line="276" w:lineRule="auto"/>
        <w:rPr>
          <w:rFonts w:cs="Arial"/>
          <w:b/>
          <w:bCs/>
          <w:sz w:val="24"/>
          <w:lang w:val="fr-FR"/>
        </w:rPr>
      </w:pPr>
      <w:r w:rsidRPr="000A5A97">
        <w:rPr>
          <w:rFonts w:cs="Arial"/>
          <w:b/>
          <w:bCs/>
          <w:sz w:val="24"/>
          <w:lang w:val="fr-FR"/>
        </w:rPr>
        <w:t>Context</w:t>
      </w:r>
      <w:r w:rsidR="003A0064" w:rsidRPr="000A5A97">
        <w:rPr>
          <w:rFonts w:cs="Arial"/>
          <w:b/>
          <w:bCs/>
          <w:sz w:val="24"/>
          <w:lang w:val="fr-FR"/>
        </w:rPr>
        <w:t>e</w:t>
      </w:r>
    </w:p>
    <w:p w14:paraId="3AF47A21" w14:textId="350A12D9" w:rsidR="00675396" w:rsidRPr="000A5A97" w:rsidRDefault="00675396" w:rsidP="008A3579">
      <w:pPr>
        <w:spacing w:before="120" w:after="120" w:line="276" w:lineRule="auto"/>
        <w:rPr>
          <w:lang w:val="fr-FR"/>
        </w:rPr>
      </w:pPr>
      <w:r w:rsidRPr="000A5A97">
        <w:rPr>
          <w:lang w:val="fr-FR"/>
        </w:rPr>
        <w:t xml:space="preserve">Le PNUD a établi un partenariat solide avec le Gouvernement du Bénin et en particulier avec le </w:t>
      </w:r>
      <w:r w:rsidR="005352CD" w:rsidRPr="000A5A97">
        <w:rPr>
          <w:lang w:val="fr-FR"/>
        </w:rPr>
        <w:t>ministère de l’Économie</w:t>
      </w:r>
      <w:r w:rsidRPr="000A5A97">
        <w:rPr>
          <w:lang w:val="fr-FR"/>
        </w:rPr>
        <w:t xml:space="preserve"> Numérique et de la Ville de </w:t>
      </w:r>
      <w:proofErr w:type="spellStart"/>
      <w:r w:rsidRPr="000A5A97">
        <w:rPr>
          <w:lang w:val="fr-FR"/>
        </w:rPr>
        <w:t>Sèmè</w:t>
      </w:r>
      <w:proofErr w:type="spellEnd"/>
      <w:r w:rsidRPr="000A5A97">
        <w:rPr>
          <w:lang w:val="fr-FR"/>
        </w:rPr>
        <w:t xml:space="preserve"> (ADSC) sur l'innovation, l'entrepreneuriat numérique et l'emploi des jeunes. Il s'agit également d'un domaine prioritaire pour le programme d'action du gouvernement actuel et à venir. C'est l'une des raisons pour lesquelles le gouvernement investit beaucoup dans le renforcement de </w:t>
      </w:r>
      <w:proofErr w:type="spellStart"/>
      <w:r w:rsidRPr="000A5A97">
        <w:rPr>
          <w:lang w:val="fr-FR"/>
        </w:rPr>
        <w:t>Sèmè</w:t>
      </w:r>
      <w:proofErr w:type="spellEnd"/>
      <w:r w:rsidRPr="000A5A97">
        <w:rPr>
          <w:lang w:val="fr-FR"/>
        </w:rPr>
        <w:t xml:space="preserve"> City, la Cité internationale de la connaissance et de l'innovation, qui regroupe des établissements d'enseignement supérieur, des institutions de formation professionnelle, des centres de recherche, des incubateurs, ainsi que des espaces d'innovation ouverte. La mission de </w:t>
      </w:r>
      <w:proofErr w:type="spellStart"/>
      <w:r w:rsidRPr="000A5A97">
        <w:rPr>
          <w:lang w:val="fr-FR"/>
        </w:rPr>
        <w:t>Sèmè</w:t>
      </w:r>
      <w:proofErr w:type="spellEnd"/>
      <w:r w:rsidRPr="000A5A97">
        <w:rPr>
          <w:lang w:val="fr-FR"/>
        </w:rPr>
        <w:t xml:space="preserve"> City est simple mais ambitieuse : mettre la connaissance, l'innovation et l'esprit d'entreprise au service d'un développement inclusif et durable. </w:t>
      </w:r>
      <w:proofErr w:type="spellStart"/>
      <w:r w:rsidRPr="000A5A97">
        <w:rPr>
          <w:lang w:val="fr-FR"/>
        </w:rPr>
        <w:t>Sèmè</w:t>
      </w:r>
      <w:proofErr w:type="spellEnd"/>
      <w:r w:rsidRPr="000A5A97">
        <w:rPr>
          <w:lang w:val="fr-FR"/>
        </w:rPr>
        <w:t xml:space="preserve"> City ainsi que le PNUD ont établi un partenariat étroit avec la Fondation Tony </w:t>
      </w:r>
      <w:proofErr w:type="spellStart"/>
      <w:r w:rsidRPr="000A5A97">
        <w:rPr>
          <w:lang w:val="fr-FR"/>
        </w:rPr>
        <w:t>Elumelu</w:t>
      </w:r>
      <w:proofErr w:type="spellEnd"/>
      <w:r w:rsidRPr="000A5A97">
        <w:rPr>
          <w:lang w:val="fr-FR"/>
        </w:rPr>
        <w:t xml:space="preserve"> (TEF) qui est la plus grande organisation philanthropique soutenant l'entrepreneuriat en Afrique. Par le biais du programme d'entrepreneuriat de la Fondation Tony </w:t>
      </w:r>
      <w:proofErr w:type="spellStart"/>
      <w:r w:rsidRPr="000A5A97">
        <w:rPr>
          <w:lang w:val="fr-FR"/>
        </w:rPr>
        <w:t>Elumelu</w:t>
      </w:r>
      <w:proofErr w:type="spellEnd"/>
      <w:r w:rsidRPr="000A5A97">
        <w:rPr>
          <w:lang w:val="fr-FR"/>
        </w:rPr>
        <w:t xml:space="preserve">, la Fondation vise à financer 10 000 entrepreneurs africains d'ici 2025 et a déjà financé près de 9 038 entrepreneurs. </w:t>
      </w:r>
    </w:p>
    <w:p w14:paraId="4FFE0D58" w14:textId="77777777" w:rsidR="00675396" w:rsidRPr="000A5A97" w:rsidRDefault="00675396" w:rsidP="008A3579">
      <w:pPr>
        <w:spacing w:before="120" w:after="120" w:line="276" w:lineRule="auto"/>
        <w:rPr>
          <w:lang w:val="fr-FR"/>
        </w:rPr>
      </w:pPr>
      <w:r w:rsidRPr="000A5A97">
        <w:rPr>
          <w:lang w:val="fr-FR"/>
        </w:rPr>
        <w:t xml:space="preserve">L'un des principaux piliers stratégiques de </w:t>
      </w:r>
      <w:proofErr w:type="spellStart"/>
      <w:r w:rsidRPr="000A5A97">
        <w:rPr>
          <w:lang w:val="fr-FR"/>
        </w:rPr>
        <w:t>Sèmè</w:t>
      </w:r>
      <w:proofErr w:type="spellEnd"/>
      <w:r w:rsidRPr="000A5A97">
        <w:rPr>
          <w:lang w:val="fr-FR"/>
        </w:rPr>
        <w:t xml:space="preserve"> City, que le PNUD soutient également et auquel il contribue conjointement, est le renforcement de l'écosystème des entrepreneurs et des capacités entrepreneuriales. En 2019, </w:t>
      </w:r>
      <w:proofErr w:type="spellStart"/>
      <w:r w:rsidRPr="000A5A97">
        <w:rPr>
          <w:lang w:val="fr-FR"/>
        </w:rPr>
        <w:t>Sèmè</w:t>
      </w:r>
      <w:proofErr w:type="spellEnd"/>
      <w:r w:rsidRPr="000A5A97">
        <w:rPr>
          <w:lang w:val="fr-FR"/>
        </w:rPr>
        <w:t xml:space="preserve"> City, avec le soutien du PNUD, s'est associée à TEF pour permettre à davantage de talents béninois de participer et de bénéficier de ce programme panafricain compétitif. Grâce à ce soutien supplémentaire, le nombre total de lauréats béninois est passé de 32 en 2018 à 156 avec 35% de projets dirigés par des femmes dans divers secteurs. Les entrepreneurs sélectionnés ont chacun reçu un financement de démarrage de 5 000 dollars à investir dans le développement de leur entreprise. Quatre institutions ont financé la cohorte des lauréats béninois : la Fondation Tony </w:t>
      </w:r>
      <w:proofErr w:type="spellStart"/>
      <w:r w:rsidRPr="000A5A97">
        <w:rPr>
          <w:lang w:val="fr-FR"/>
        </w:rPr>
        <w:t>Elumelu</w:t>
      </w:r>
      <w:proofErr w:type="spellEnd"/>
      <w:r w:rsidRPr="000A5A97">
        <w:rPr>
          <w:lang w:val="fr-FR"/>
        </w:rPr>
        <w:t xml:space="preserve"> (56), </w:t>
      </w:r>
      <w:proofErr w:type="spellStart"/>
      <w:r w:rsidRPr="000A5A97">
        <w:rPr>
          <w:lang w:val="fr-FR"/>
        </w:rPr>
        <w:t>Sèmè</w:t>
      </w:r>
      <w:proofErr w:type="spellEnd"/>
      <w:r w:rsidRPr="000A5A97">
        <w:rPr>
          <w:lang w:val="fr-FR"/>
        </w:rPr>
        <w:t xml:space="preserve"> City (50), le PNUD (47) et la Banque africaine de développement (6). En outre, le PNUD a fourni des ressources pour permettre aux entrepreneurs béninois de participer au Forum TEF à Abuja. Cette collaboration sans précédent entre la Fondation, </w:t>
      </w:r>
      <w:proofErr w:type="spellStart"/>
      <w:r w:rsidRPr="000A5A97">
        <w:rPr>
          <w:lang w:val="fr-FR"/>
        </w:rPr>
        <w:t>Sèmè</w:t>
      </w:r>
      <w:proofErr w:type="spellEnd"/>
      <w:r w:rsidRPr="000A5A97">
        <w:rPr>
          <w:lang w:val="fr-FR"/>
        </w:rPr>
        <w:t xml:space="preserve"> City et le PNUD s'est avérée être un cadre très efficace pour développer et autonomiser les jeunes en République du Bénin et contribuer à l'emploi des jeunes et à la création de richesses.</w:t>
      </w:r>
    </w:p>
    <w:p w14:paraId="6052BC23" w14:textId="77777777" w:rsidR="00675396" w:rsidRPr="000A5A97" w:rsidRDefault="00675396" w:rsidP="008A3579">
      <w:pPr>
        <w:spacing w:before="120" w:after="120" w:line="276" w:lineRule="auto"/>
        <w:rPr>
          <w:lang w:val="fr-FR"/>
        </w:rPr>
      </w:pPr>
      <w:r w:rsidRPr="000A5A97">
        <w:rPr>
          <w:lang w:val="fr-FR"/>
        </w:rPr>
        <w:t>En réponse à la crise résultant de la pandémie de coronavirus, la Fondation a pris la difficile décision de reporter la 6ème édition de son Programme d'Entrepreneuriat et le Forum TEF à 2021. Pendant cette période difficile, la Fondation s'est concentrée sur la fourniture de formations gratuites tout en travaillant avec les décideurs politiques, les gouvernements et les institutions de financement du développement afin de catalyser un soutien supplémentaire pour les entrepreneurs africains dans l'ère post-coronavirus.</w:t>
      </w:r>
    </w:p>
    <w:p w14:paraId="5BB4FA04" w14:textId="39A166D0" w:rsidR="008A3579" w:rsidRPr="000A5A97" w:rsidRDefault="00675396" w:rsidP="008A3579">
      <w:pPr>
        <w:spacing w:before="120" w:after="120" w:line="276" w:lineRule="auto"/>
        <w:rPr>
          <w:rFonts w:ascii="Times New Roman" w:hAnsi="Times New Roman"/>
          <w:b/>
          <w:bCs/>
          <w:sz w:val="21"/>
          <w:szCs w:val="21"/>
          <w:lang w:val="fr-FR"/>
        </w:rPr>
      </w:pPr>
      <w:r w:rsidRPr="000A5A97">
        <w:rPr>
          <w:lang w:val="fr-FR"/>
        </w:rPr>
        <w:t xml:space="preserve">C'est donc avec cet objectif en tête qu'en 2021, le PNUD et l'ADSC ont renforcé leur partenariat pour promouvoir l'entrepreneuriat des jeunes à travers le programme TEF. Avec le soutien du PNUD, la ville de </w:t>
      </w:r>
      <w:proofErr w:type="spellStart"/>
      <w:r w:rsidRPr="000A5A97">
        <w:rPr>
          <w:lang w:val="fr-FR"/>
        </w:rPr>
        <w:t>Sèmè</w:t>
      </w:r>
      <w:proofErr w:type="spellEnd"/>
      <w:r w:rsidRPr="000A5A97">
        <w:rPr>
          <w:lang w:val="fr-FR"/>
        </w:rPr>
        <w:t xml:space="preserve"> a organisé un roadshow national dans 11 villes du pays et a fourni aux candidats un accès en ligne et des sessions de formation. Ceci a permis non seulement de maximiser la portée et la diversité du programme, mais également de donner à tous les entrepreneurs béninois de tout le pays l'opportunité de participer.   </w:t>
      </w:r>
    </w:p>
    <w:p w14:paraId="6BF411AC" w14:textId="37AAE6C7" w:rsidR="003A0064" w:rsidRPr="000A5A97" w:rsidRDefault="008A3579" w:rsidP="000A5A97">
      <w:pPr>
        <w:spacing w:before="240" w:after="120" w:line="276" w:lineRule="auto"/>
        <w:rPr>
          <w:rFonts w:cs="Arial"/>
          <w:b/>
          <w:bCs/>
          <w:sz w:val="24"/>
          <w:lang w:val="fr-FR"/>
        </w:rPr>
      </w:pPr>
      <w:r w:rsidRPr="000A5A97">
        <w:rPr>
          <w:rFonts w:cs="Arial"/>
          <w:b/>
          <w:bCs/>
          <w:sz w:val="24"/>
          <w:lang w:val="fr-FR"/>
        </w:rPr>
        <w:t xml:space="preserve">Objectifs du Projet </w:t>
      </w:r>
      <w:r w:rsidR="003B5B70" w:rsidRPr="000A5A97">
        <w:rPr>
          <w:rFonts w:cs="Arial"/>
          <w:b/>
          <w:bCs/>
          <w:sz w:val="24"/>
          <w:lang w:val="fr-FR"/>
        </w:rPr>
        <w:t>(PIP)</w:t>
      </w:r>
    </w:p>
    <w:p w14:paraId="72ED9B06" w14:textId="165BC100" w:rsidR="00413379" w:rsidRPr="000A5A97" w:rsidRDefault="00413379" w:rsidP="008A3579">
      <w:pPr>
        <w:spacing w:before="120" w:after="120" w:line="276" w:lineRule="auto"/>
        <w:rPr>
          <w:iCs/>
          <w:szCs w:val="22"/>
          <w:lang w:val="fr-FR"/>
        </w:rPr>
      </w:pPr>
      <w:r w:rsidRPr="000A5A97">
        <w:rPr>
          <w:iCs/>
          <w:szCs w:val="22"/>
          <w:lang w:val="fr-FR"/>
        </w:rPr>
        <w:t xml:space="preserve">La stratégie de mise en œuvre du Projet est celle déployée par l’ADSC pour rendre opérationnel l’accompagnement des entrepreneurs. Elle vise à </w:t>
      </w:r>
      <w:r w:rsidRPr="000A5A97">
        <w:rPr>
          <w:szCs w:val="22"/>
          <w:lang w:val="fr-FR"/>
        </w:rPr>
        <w:t xml:space="preserve">accompagner l’écosystème d’innovation (étudiants, chercheurs, entrepreneurs) à inventer leurs métiers, à créer des solutions innovantes, à déployer des entreprises de croissance, à bâtir les villes de demain, voici un challenge stimulant ! </w:t>
      </w:r>
      <w:r w:rsidRPr="000A5A97">
        <w:rPr>
          <w:szCs w:val="22"/>
          <w:lang w:val="fr-FR"/>
        </w:rPr>
        <w:lastRenderedPageBreak/>
        <w:t>Challenge pour lequel l’ADSC recherche des partenaires chevronnés et qualifiés, désireux de l’accompagner dans la réalisation de cette mission.</w:t>
      </w:r>
    </w:p>
    <w:p w14:paraId="20612473" w14:textId="5714E7B6" w:rsidR="00413379" w:rsidRPr="000A5A97" w:rsidRDefault="00413379" w:rsidP="008A3579">
      <w:pPr>
        <w:spacing w:before="120" w:after="120" w:line="276" w:lineRule="auto"/>
        <w:rPr>
          <w:iCs/>
          <w:szCs w:val="22"/>
          <w:lang w:val="fr-FR"/>
        </w:rPr>
      </w:pPr>
      <w:r w:rsidRPr="000A5A97">
        <w:rPr>
          <w:iCs/>
          <w:szCs w:val="22"/>
          <w:lang w:val="fr-FR"/>
        </w:rPr>
        <w:t xml:space="preserve">L’ADSC s’engage dans une collaboration unique avec chaque partenaire. Le but est de trouver ensemble un accord « gagnant / gagnant » permettant de faire prospérer l’écosystème. L’État Béninois s’engage à apporter aux partenaires de </w:t>
      </w:r>
      <w:proofErr w:type="spellStart"/>
      <w:r w:rsidRPr="000A5A97">
        <w:rPr>
          <w:iCs/>
          <w:szCs w:val="22"/>
          <w:lang w:val="fr-FR"/>
        </w:rPr>
        <w:t>Sèmè</w:t>
      </w:r>
      <w:proofErr w:type="spellEnd"/>
      <w:r w:rsidRPr="000A5A97">
        <w:rPr>
          <w:iCs/>
          <w:szCs w:val="22"/>
          <w:lang w:val="fr-FR"/>
        </w:rPr>
        <w:t xml:space="preserve"> City toutes les incitations à l’investissement en relation avec sa stratégie de développement d’une dynamique économie du savoir. Tandis que l’ADSC met tout en </w:t>
      </w:r>
      <w:r w:rsidR="000A5A97" w:rsidRPr="000A5A97">
        <w:rPr>
          <w:iCs/>
          <w:szCs w:val="22"/>
          <w:lang w:val="fr-FR"/>
        </w:rPr>
        <w:t>œuvre</w:t>
      </w:r>
      <w:r w:rsidRPr="000A5A97">
        <w:rPr>
          <w:iCs/>
          <w:szCs w:val="22"/>
          <w:lang w:val="fr-FR"/>
        </w:rPr>
        <w:t xml:space="preserve"> pour créer un cadre favorable et attractif pour ses partenaires opérateurs.</w:t>
      </w:r>
    </w:p>
    <w:p w14:paraId="49C01F93" w14:textId="70B9422B" w:rsidR="00413379" w:rsidRPr="000A5A97" w:rsidRDefault="00413379" w:rsidP="008A3579">
      <w:pPr>
        <w:pStyle w:val="NormalWeb"/>
        <w:spacing w:before="120" w:beforeAutospacing="0" w:after="120" w:afterAutospacing="0" w:line="276" w:lineRule="auto"/>
        <w:rPr>
          <w:rFonts w:ascii="Arial" w:hAnsi="Arial" w:cs="Arial"/>
          <w:sz w:val="22"/>
          <w:szCs w:val="22"/>
          <w:lang w:val="fr-FR"/>
        </w:rPr>
      </w:pPr>
      <w:r w:rsidRPr="000A5A97">
        <w:rPr>
          <w:rFonts w:ascii="Arial" w:hAnsi="Arial" w:cs="Arial"/>
          <w:sz w:val="22"/>
          <w:szCs w:val="22"/>
          <w:lang w:val="fr-FR"/>
        </w:rPr>
        <w:t xml:space="preserve">L’accompagnement de l’ADSC </w:t>
      </w:r>
      <w:r w:rsidR="000A5A97" w:rsidRPr="000A5A97">
        <w:rPr>
          <w:rFonts w:ascii="Arial" w:hAnsi="Arial" w:cs="Arial"/>
          <w:sz w:val="22"/>
          <w:szCs w:val="22"/>
          <w:lang w:val="fr-FR"/>
        </w:rPr>
        <w:t>comprend :</w:t>
      </w:r>
    </w:p>
    <w:p w14:paraId="6A883566" w14:textId="77777777" w:rsidR="00413379" w:rsidRPr="000A5A97" w:rsidRDefault="00413379" w:rsidP="008A3579">
      <w:pPr>
        <w:numPr>
          <w:ilvl w:val="0"/>
          <w:numId w:val="21"/>
        </w:numPr>
        <w:spacing w:before="120" w:after="120" w:line="276" w:lineRule="auto"/>
        <w:jc w:val="left"/>
        <w:rPr>
          <w:rFonts w:cs="Arial"/>
          <w:szCs w:val="22"/>
          <w:lang w:val="fr-FR"/>
        </w:rPr>
      </w:pPr>
      <w:r w:rsidRPr="000A5A97">
        <w:rPr>
          <w:rFonts w:cs="Arial"/>
          <w:szCs w:val="22"/>
          <w:lang w:val="fr-FR"/>
        </w:rPr>
        <w:t>Accompagnement dans le montage d’un modèle d’affaires soutenable et adapté à l’environnement béninois</w:t>
      </w:r>
    </w:p>
    <w:p w14:paraId="06757295" w14:textId="77777777" w:rsidR="00413379" w:rsidRPr="000A5A97" w:rsidRDefault="00413379" w:rsidP="008A3579">
      <w:pPr>
        <w:numPr>
          <w:ilvl w:val="0"/>
          <w:numId w:val="21"/>
        </w:numPr>
        <w:spacing w:before="120" w:after="120" w:line="276" w:lineRule="auto"/>
        <w:jc w:val="left"/>
        <w:rPr>
          <w:rFonts w:cs="Arial"/>
          <w:szCs w:val="22"/>
          <w:lang w:val="fr-FR"/>
        </w:rPr>
      </w:pPr>
      <w:r w:rsidRPr="000A5A97">
        <w:rPr>
          <w:rFonts w:cs="Arial"/>
          <w:szCs w:val="22"/>
          <w:lang w:val="fr-FR"/>
        </w:rPr>
        <w:t>Prestations de services créatifs (logos et identité visuelle, brochures, site interne, etc.)</w:t>
      </w:r>
    </w:p>
    <w:p w14:paraId="62B98083" w14:textId="77777777" w:rsidR="00413379" w:rsidRPr="000A5A97" w:rsidRDefault="00413379" w:rsidP="008A3579">
      <w:pPr>
        <w:numPr>
          <w:ilvl w:val="0"/>
          <w:numId w:val="21"/>
        </w:numPr>
        <w:spacing w:before="120" w:after="120" w:line="276" w:lineRule="auto"/>
        <w:jc w:val="left"/>
        <w:rPr>
          <w:rFonts w:cs="Arial"/>
          <w:szCs w:val="22"/>
          <w:lang w:val="fr-FR"/>
        </w:rPr>
      </w:pPr>
      <w:r w:rsidRPr="000A5A97">
        <w:rPr>
          <w:rFonts w:cs="Arial"/>
          <w:szCs w:val="22"/>
          <w:lang w:val="fr-FR"/>
        </w:rPr>
        <w:t>Services sur le campus (internet haut débit, data center, restauration, gardiennage 24h/24h, nettoyage et ramassage des ordures, parkings, etc.)</w:t>
      </w:r>
    </w:p>
    <w:p w14:paraId="01841F40" w14:textId="77777777" w:rsidR="00413379" w:rsidRPr="000A5A97" w:rsidRDefault="00413379" w:rsidP="008A3579">
      <w:pPr>
        <w:numPr>
          <w:ilvl w:val="0"/>
          <w:numId w:val="21"/>
        </w:numPr>
        <w:spacing w:before="120" w:after="120" w:line="276" w:lineRule="auto"/>
        <w:jc w:val="left"/>
        <w:rPr>
          <w:rFonts w:cs="Arial"/>
          <w:szCs w:val="22"/>
          <w:lang w:val="fr-FR"/>
        </w:rPr>
      </w:pPr>
      <w:r w:rsidRPr="000A5A97">
        <w:rPr>
          <w:rFonts w:cs="Arial"/>
          <w:szCs w:val="22"/>
          <w:lang w:val="fr-FR"/>
        </w:rPr>
        <w:t>Guichet unique pour faciliter et accélérer les démarches administratives</w:t>
      </w:r>
    </w:p>
    <w:p w14:paraId="44AF7ED1" w14:textId="77777777" w:rsidR="00413379" w:rsidRPr="000A5A97" w:rsidRDefault="00413379" w:rsidP="008A3579">
      <w:pPr>
        <w:numPr>
          <w:ilvl w:val="0"/>
          <w:numId w:val="21"/>
        </w:numPr>
        <w:spacing w:before="120" w:after="120" w:line="276" w:lineRule="auto"/>
        <w:jc w:val="left"/>
        <w:rPr>
          <w:rFonts w:cs="Arial"/>
          <w:szCs w:val="22"/>
          <w:lang w:val="fr-FR"/>
        </w:rPr>
      </w:pPr>
      <w:r w:rsidRPr="000A5A97">
        <w:rPr>
          <w:rFonts w:cs="Arial"/>
          <w:szCs w:val="22"/>
          <w:lang w:val="fr-FR"/>
        </w:rPr>
        <w:t>Régime fiscal et douanier attractif applicable dès l’installation dans la Cité, comprenant des exonérations partielles ou totales sur divers impôts et taxes, ainsi que des avantages fiscaux liés à l’investissement dans certaines activités axées sur la recherche, la formation ou l’entrepreneuriat.</w:t>
      </w:r>
    </w:p>
    <w:p w14:paraId="1BA0E3FB" w14:textId="77777777" w:rsidR="00413379" w:rsidRPr="000A5A97" w:rsidRDefault="00413379" w:rsidP="008A3579">
      <w:pPr>
        <w:numPr>
          <w:ilvl w:val="0"/>
          <w:numId w:val="21"/>
        </w:numPr>
        <w:spacing w:before="120" w:after="120" w:line="276" w:lineRule="auto"/>
        <w:jc w:val="left"/>
        <w:rPr>
          <w:rFonts w:cs="Arial"/>
          <w:szCs w:val="22"/>
          <w:lang w:val="fr-FR"/>
        </w:rPr>
      </w:pPr>
      <w:r w:rsidRPr="000A5A97">
        <w:rPr>
          <w:rFonts w:cs="Arial"/>
          <w:szCs w:val="22"/>
          <w:lang w:val="fr-FR"/>
        </w:rPr>
        <w:t xml:space="preserve">Expertises de pointe et main d’œuvre qualifiée fournies par les institutions académiques installées à </w:t>
      </w:r>
      <w:proofErr w:type="spellStart"/>
      <w:r w:rsidRPr="000A5A97">
        <w:rPr>
          <w:rFonts w:cs="Arial"/>
          <w:szCs w:val="22"/>
          <w:lang w:val="fr-FR"/>
        </w:rPr>
        <w:t>Sèmè</w:t>
      </w:r>
      <w:proofErr w:type="spellEnd"/>
      <w:r w:rsidRPr="000A5A97">
        <w:rPr>
          <w:rFonts w:cs="Arial"/>
          <w:szCs w:val="22"/>
          <w:lang w:val="fr-FR"/>
        </w:rPr>
        <w:t xml:space="preserve"> City</w:t>
      </w:r>
    </w:p>
    <w:p w14:paraId="0656E124" w14:textId="77777777" w:rsidR="00413379" w:rsidRPr="000A5A97" w:rsidRDefault="00413379" w:rsidP="008A3579">
      <w:pPr>
        <w:numPr>
          <w:ilvl w:val="0"/>
          <w:numId w:val="21"/>
        </w:numPr>
        <w:spacing w:before="120" w:after="120" w:line="276" w:lineRule="auto"/>
        <w:jc w:val="left"/>
        <w:rPr>
          <w:rFonts w:cs="Arial"/>
          <w:szCs w:val="22"/>
          <w:lang w:val="fr-FR"/>
        </w:rPr>
      </w:pPr>
      <w:r w:rsidRPr="000A5A97">
        <w:rPr>
          <w:rFonts w:cs="Arial"/>
          <w:szCs w:val="22"/>
          <w:lang w:val="fr-FR"/>
        </w:rPr>
        <w:t>Assistance technique et accompagnement des projets d’innovation</w:t>
      </w:r>
    </w:p>
    <w:p w14:paraId="4E07C418" w14:textId="77777777" w:rsidR="00413379" w:rsidRPr="000A5A97" w:rsidRDefault="00413379" w:rsidP="008A3579">
      <w:pPr>
        <w:numPr>
          <w:ilvl w:val="0"/>
          <w:numId w:val="21"/>
        </w:numPr>
        <w:spacing w:before="120" w:after="120" w:line="276" w:lineRule="auto"/>
        <w:jc w:val="left"/>
        <w:rPr>
          <w:rFonts w:cs="Arial"/>
          <w:szCs w:val="22"/>
          <w:lang w:val="fr-FR"/>
        </w:rPr>
      </w:pPr>
      <w:r w:rsidRPr="000A5A97">
        <w:rPr>
          <w:rFonts w:cs="Arial"/>
          <w:szCs w:val="22"/>
          <w:lang w:val="fr-FR"/>
        </w:rPr>
        <w:t>Mise en relation de partenaires</w:t>
      </w:r>
    </w:p>
    <w:p w14:paraId="1AFAB865" w14:textId="77777777" w:rsidR="00413379" w:rsidRPr="000A5A97" w:rsidRDefault="00413379" w:rsidP="008A3579">
      <w:pPr>
        <w:numPr>
          <w:ilvl w:val="0"/>
          <w:numId w:val="21"/>
        </w:numPr>
        <w:spacing w:before="120" w:after="120" w:line="276" w:lineRule="auto"/>
        <w:jc w:val="left"/>
        <w:rPr>
          <w:rFonts w:cs="Arial"/>
          <w:szCs w:val="22"/>
          <w:lang w:val="fr-FR"/>
        </w:rPr>
      </w:pPr>
      <w:r w:rsidRPr="000A5A97">
        <w:rPr>
          <w:rFonts w:cs="Arial"/>
          <w:szCs w:val="22"/>
          <w:lang w:val="fr-FR"/>
        </w:rPr>
        <w:t>Commercialisation et valorisation des innovations</w:t>
      </w:r>
    </w:p>
    <w:p w14:paraId="1F80AED8" w14:textId="77777777" w:rsidR="00413379" w:rsidRPr="000A5A97" w:rsidRDefault="00413379" w:rsidP="008A3579">
      <w:pPr>
        <w:numPr>
          <w:ilvl w:val="0"/>
          <w:numId w:val="21"/>
        </w:numPr>
        <w:spacing w:before="120" w:after="120" w:line="276" w:lineRule="auto"/>
        <w:jc w:val="left"/>
        <w:rPr>
          <w:rFonts w:cs="Arial"/>
          <w:szCs w:val="22"/>
          <w:lang w:val="fr-FR"/>
        </w:rPr>
      </w:pPr>
      <w:r w:rsidRPr="000A5A97">
        <w:rPr>
          <w:rFonts w:cs="Arial"/>
          <w:szCs w:val="22"/>
          <w:lang w:val="fr-FR"/>
        </w:rPr>
        <w:t>Accès à un réseau grandissant de startups innovantes et de communautés créatives</w:t>
      </w:r>
    </w:p>
    <w:p w14:paraId="26C05822" w14:textId="77777777" w:rsidR="00413379" w:rsidRPr="000A5A97" w:rsidRDefault="00413379" w:rsidP="008A3579">
      <w:pPr>
        <w:numPr>
          <w:ilvl w:val="0"/>
          <w:numId w:val="21"/>
        </w:numPr>
        <w:spacing w:before="120" w:after="120" w:line="276" w:lineRule="auto"/>
        <w:jc w:val="left"/>
        <w:rPr>
          <w:rFonts w:cs="Arial"/>
          <w:szCs w:val="22"/>
          <w:lang w:val="fr-FR"/>
        </w:rPr>
      </w:pPr>
      <w:r w:rsidRPr="000A5A97">
        <w:rPr>
          <w:rFonts w:cs="Arial"/>
          <w:szCs w:val="22"/>
          <w:lang w:val="fr-FR"/>
        </w:rPr>
        <w:t>Accès à des espaces et zones d’expérimentation et de prototypage</w:t>
      </w:r>
    </w:p>
    <w:p w14:paraId="3C01C4A7" w14:textId="451D17CD" w:rsidR="00413379" w:rsidRPr="000A5A97" w:rsidRDefault="00413379" w:rsidP="008A3579">
      <w:pPr>
        <w:numPr>
          <w:ilvl w:val="0"/>
          <w:numId w:val="21"/>
        </w:numPr>
        <w:spacing w:before="120" w:after="120" w:line="276" w:lineRule="auto"/>
        <w:jc w:val="left"/>
        <w:rPr>
          <w:rFonts w:cs="Arial"/>
          <w:szCs w:val="22"/>
          <w:lang w:val="fr-FR"/>
        </w:rPr>
      </w:pPr>
      <w:r w:rsidRPr="000A5A97">
        <w:rPr>
          <w:rFonts w:cs="Arial"/>
          <w:szCs w:val="22"/>
          <w:lang w:val="fr-FR"/>
        </w:rPr>
        <w:t xml:space="preserve">Organisation d’évènements, concours de </w:t>
      </w:r>
      <w:proofErr w:type="spellStart"/>
      <w:r w:rsidRPr="000A5A97">
        <w:rPr>
          <w:rFonts w:cs="Arial"/>
          <w:szCs w:val="22"/>
          <w:lang w:val="fr-FR"/>
        </w:rPr>
        <w:t>pitchs</w:t>
      </w:r>
      <w:proofErr w:type="spellEnd"/>
      <w:r w:rsidRPr="000A5A97">
        <w:rPr>
          <w:rFonts w:cs="Arial"/>
          <w:szCs w:val="22"/>
          <w:lang w:val="fr-FR"/>
        </w:rPr>
        <w:t>, ateliers d’innovation, hackathons, etc.</w:t>
      </w:r>
    </w:p>
    <w:p w14:paraId="3C063544" w14:textId="1E5EC926" w:rsidR="008A3579" w:rsidRPr="000A5A97" w:rsidRDefault="003A0064" w:rsidP="008A3579">
      <w:pPr>
        <w:spacing w:before="120" w:after="120" w:line="276" w:lineRule="auto"/>
        <w:rPr>
          <w:rFonts w:eastAsia="MS Mincho"/>
          <w:szCs w:val="22"/>
          <w:lang w:val="fr-FR"/>
        </w:rPr>
      </w:pPr>
      <w:r w:rsidRPr="000A5A97">
        <w:rPr>
          <w:rFonts w:eastAsia="MS Mincho"/>
          <w:szCs w:val="22"/>
          <w:lang w:val="fr-FR"/>
        </w:rPr>
        <w:t xml:space="preserve">Le PIP démarrera le 1er octobre 2021 pour une durée de 3 mois. Les résultats et les activités qui suivent sont envisagés pour être mis en œuvre dans le cadre du PIP.  Les activités comprennent également un processus de gestion et de capitalisation des activités, de tirer les leçons du partenariat ADSC - PNUD-TEF passé.  </w:t>
      </w:r>
    </w:p>
    <w:p w14:paraId="6C80B397" w14:textId="0B830291" w:rsidR="00413379" w:rsidRPr="000A5A97" w:rsidRDefault="00413379" w:rsidP="000A5A97">
      <w:pPr>
        <w:spacing w:before="240" w:after="120" w:line="276" w:lineRule="auto"/>
        <w:rPr>
          <w:rFonts w:cs="Arial"/>
          <w:b/>
          <w:bCs/>
          <w:sz w:val="24"/>
          <w:lang w:val="fr-FR"/>
        </w:rPr>
      </w:pPr>
      <w:r w:rsidRPr="000A5A97">
        <w:rPr>
          <w:rFonts w:cs="Arial"/>
          <w:b/>
          <w:bCs/>
          <w:sz w:val="24"/>
          <w:lang w:val="fr-FR"/>
        </w:rPr>
        <w:t>Résultats et activités</w:t>
      </w:r>
    </w:p>
    <w:p w14:paraId="2076A1FE" w14:textId="77777777" w:rsidR="00413379" w:rsidRPr="000A5A97" w:rsidRDefault="00413379" w:rsidP="008A3579">
      <w:pPr>
        <w:spacing w:line="276" w:lineRule="auto"/>
        <w:rPr>
          <w:rFonts w:cs="Arial"/>
          <w:szCs w:val="22"/>
          <w:lang w:val="fr-FR"/>
        </w:rPr>
      </w:pPr>
      <w:r w:rsidRPr="000A5A97">
        <w:rPr>
          <w:rFonts w:cs="Arial"/>
          <w:i/>
          <w:iCs/>
          <w:szCs w:val="22"/>
          <w:u w:val="single"/>
          <w:lang w:val="fr-FR"/>
        </w:rPr>
        <w:t>Résultat 1</w:t>
      </w:r>
      <w:r w:rsidRPr="000A5A97">
        <w:rPr>
          <w:rFonts w:cs="Arial"/>
          <w:szCs w:val="22"/>
          <w:lang w:val="fr-FR"/>
        </w:rPr>
        <w:t xml:space="preserve"> : Le partenariat entre la Fondation Tony </w:t>
      </w:r>
      <w:proofErr w:type="spellStart"/>
      <w:r w:rsidRPr="000A5A97">
        <w:rPr>
          <w:rFonts w:cs="Arial"/>
          <w:szCs w:val="22"/>
          <w:lang w:val="fr-FR"/>
        </w:rPr>
        <w:t>Elumelu</w:t>
      </w:r>
      <w:proofErr w:type="spellEnd"/>
      <w:r w:rsidRPr="000A5A97">
        <w:rPr>
          <w:rFonts w:cs="Arial"/>
          <w:szCs w:val="22"/>
          <w:lang w:val="fr-FR"/>
        </w:rPr>
        <w:t>, l'ADSC et le PNUD est renforcé sur la base d'activités efficaces de promotion de l'entrepreneuriat des jeunes. (CE RÉSULTAT EST DÉJÀ ENTIÈREMENT FINANCÉ PAR LE PNUD ET AUCUNE RESSOURCE N'EST REQUISE)</w:t>
      </w:r>
    </w:p>
    <w:p w14:paraId="023143C0" w14:textId="77777777" w:rsidR="00413379" w:rsidRPr="000A5A97" w:rsidRDefault="00413379" w:rsidP="008A3579">
      <w:pPr>
        <w:spacing w:line="276" w:lineRule="auto"/>
        <w:rPr>
          <w:rFonts w:cs="Arial"/>
          <w:szCs w:val="22"/>
          <w:lang w:val="fr-FR"/>
        </w:rPr>
      </w:pPr>
      <w:r w:rsidRPr="000A5A97">
        <w:rPr>
          <w:rFonts w:cs="Arial"/>
          <w:szCs w:val="22"/>
          <w:lang w:val="fr-FR"/>
        </w:rPr>
        <w:t>Ce résultat comprend les activités suivantes :</w:t>
      </w:r>
    </w:p>
    <w:p w14:paraId="3700D240" w14:textId="77777777" w:rsidR="00413379" w:rsidRPr="000A5A97" w:rsidRDefault="00413379" w:rsidP="008A3579">
      <w:pPr>
        <w:pStyle w:val="Paragraphedeliste"/>
        <w:numPr>
          <w:ilvl w:val="0"/>
          <w:numId w:val="18"/>
        </w:numPr>
        <w:spacing w:after="60" w:line="276" w:lineRule="auto"/>
        <w:jc w:val="both"/>
        <w:rPr>
          <w:rFonts w:ascii="Arial" w:hAnsi="Arial" w:cs="Arial"/>
          <w:sz w:val="22"/>
          <w:szCs w:val="22"/>
          <w:lang w:val="fr-FR"/>
        </w:rPr>
      </w:pPr>
      <w:r w:rsidRPr="000A5A97">
        <w:rPr>
          <w:rFonts w:ascii="Arial" w:hAnsi="Arial" w:cs="Arial"/>
          <w:sz w:val="22"/>
          <w:szCs w:val="22"/>
          <w:lang w:val="fr-FR"/>
        </w:rPr>
        <w:t xml:space="preserve">Promouvoir et accompagner les jeunes à postuler pour le concours annuel de la Fondation Tony </w:t>
      </w:r>
      <w:proofErr w:type="spellStart"/>
      <w:r w:rsidRPr="000A5A97">
        <w:rPr>
          <w:rFonts w:ascii="Arial" w:hAnsi="Arial" w:cs="Arial"/>
          <w:sz w:val="22"/>
          <w:szCs w:val="22"/>
          <w:lang w:val="fr-FR"/>
        </w:rPr>
        <w:t>Elumelu</w:t>
      </w:r>
      <w:proofErr w:type="spellEnd"/>
      <w:r w:rsidRPr="000A5A97">
        <w:rPr>
          <w:rFonts w:ascii="Arial" w:hAnsi="Arial" w:cs="Arial"/>
          <w:sz w:val="22"/>
          <w:szCs w:val="22"/>
          <w:lang w:val="fr-FR"/>
        </w:rPr>
        <w:t xml:space="preserve"> - au moins 3000 candidatures béninoises sont sélectionnées pour la première phase du concours.</w:t>
      </w:r>
    </w:p>
    <w:p w14:paraId="358EAF41" w14:textId="77777777" w:rsidR="00413379" w:rsidRPr="000A5A97" w:rsidRDefault="00413379" w:rsidP="008A3579">
      <w:pPr>
        <w:pStyle w:val="Paragraphedeliste"/>
        <w:numPr>
          <w:ilvl w:val="0"/>
          <w:numId w:val="18"/>
        </w:numPr>
        <w:spacing w:after="60" w:line="276" w:lineRule="auto"/>
        <w:jc w:val="both"/>
        <w:rPr>
          <w:rFonts w:ascii="Arial" w:hAnsi="Arial" w:cs="Arial"/>
          <w:sz w:val="22"/>
          <w:szCs w:val="22"/>
          <w:lang w:val="fr-FR"/>
        </w:rPr>
      </w:pPr>
      <w:r w:rsidRPr="000A5A97">
        <w:rPr>
          <w:rFonts w:ascii="Arial" w:hAnsi="Arial" w:cs="Arial"/>
          <w:sz w:val="22"/>
          <w:szCs w:val="22"/>
          <w:lang w:val="fr-FR"/>
        </w:rPr>
        <w:t>Mettre en place des programmes de coaching pour les candidats sélectionnés pour la 2ème phase de la compétition - au moins 1000 candidats sélectionnés pour la phase Pitch</w:t>
      </w:r>
    </w:p>
    <w:p w14:paraId="3DE61E77" w14:textId="77777777" w:rsidR="00413379" w:rsidRPr="000A5A97" w:rsidRDefault="00413379" w:rsidP="008A3579">
      <w:pPr>
        <w:pStyle w:val="Paragraphedeliste"/>
        <w:numPr>
          <w:ilvl w:val="0"/>
          <w:numId w:val="18"/>
        </w:numPr>
        <w:spacing w:after="60" w:line="276" w:lineRule="auto"/>
        <w:jc w:val="both"/>
        <w:rPr>
          <w:rFonts w:ascii="Arial" w:hAnsi="Arial" w:cs="Arial"/>
          <w:sz w:val="22"/>
          <w:szCs w:val="22"/>
          <w:lang w:val="fr-FR"/>
        </w:rPr>
      </w:pPr>
      <w:r w:rsidRPr="000A5A97">
        <w:rPr>
          <w:rFonts w:ascii="Arial" w:hAnsi="Arial" w:cs="Arial"/>
          <w:sz w:val="22"/>
          <w:szCs w:val="22"/>
          <w:lang w:val="fr-FR"/>
        </w:rPr>
        <w:t>Au moins 200 lauréats béninois sélectionnés par TEF. (Cet objectif devrait être dépassé puisque nous en attendons environ 350).</w:t>
      </w:r>
    </w:p>
    <w:p w14:paraId="402B8A81" w14:textId="77777777" w:rsidR="00413379" w:rsidRPr="000A5A97" w:rsidRDefault="00413379" w:rsidP="008A3579">
      <w:pPr>
        <w:spacing w:line="276" w:lineRule="auto"/>
        <w:rPr>
          <w:rFonts w:cs="Arial"/>
          <w:szCs w:val="22"/>
          <w:lang w:val="fr-FR"/>
        </w:rPr>
      </w:pPr>
    </w:p>
    <w:p w14:paraId="616D5772" w14:textId="77777777" w:rsidR="00413379" w:rsidRPr="000A5A97" w:rsidRDefault="00413379" w:rsidP="008A3579">
      <w:pPr>
        <w:spacing w:line="276" w:lineRule="auto"/>
        <w:rPr>
          <w:rFonts w:cs="Arial"/>
          <w:szCs w:val="22"/>
          <w:lang w:val="fr-FR"/>
        </w:rPr>
      </w:pPr>
      <w:r w:rsidRPr="000A5A97">
        <w:rPr>
          <w:rFonts w:cs="Arial"/>
          <w:i/>
          <w:iCs/>
          <w:szCs w:val="22"/>
          <w:u w:val="single"/>
          <w:lang w:val="fr-FR"/>
        </w:rPr>
        <w:lastRenderedPageBreak/>
        <w:t>Résultat 2</w:t>
      </w:r>
      <w:r w:rsidRPr="000A5A97">
        <w:rPr>
          <w:rFonts w:cs="Arial"/>
          <w:szCs w:val="22"/>
          <w:lang w:val="fr-FR"/>
        </w:rPr>
        <w:t xml:space="preserve"> : Au moins 200 entrepreneurs reçoivent un soutien financier pour lancer ou développer leur entreprise. </w:t>
      </w:r>
    </w:p>
    <w:p w14:paraId="3AC08F6C" w14:textId="77777777" w:rsidR="00413379" w:rsidRPr="000A5A97" w:rsidRDefault="00413379" w:rsidP="008A3579">
      <w:pPr>
        <w:spacing w:line="276" w:lineRule="auto"/>
        <w:rPr>
          <w:rFonts w:cs="Arial"/>
          <w:szCs w:val="22"/>
          <w:lang w:val="fr-FR"/>
        </w:rPr>
      </w:pPr>
      <w:r w:rsidRPr="000A5A97">
        <w:rPr>
          <w:rFonts w:cs="Arial"/>
          <w:szCs w:val="22"/>
          <w:lang w:val="fr-FR"/>
        </w:rPr>
        <w:t xml:space="preserve">Ce résultat comprend les activités suivantes : </w:t>
      </w:r>
    </w:p>
    <w:p w14:paraId="084B085E" w14:textId="77777777" w:rsidR="00413379" w:rsidRPr="000A5A97" w:rsidRDefault="00413379" w:rsidP="008A3579">
      <w:pPr>
        <w:pStyle w:val="Paragraphedeliste"/>
        <w:numPr>
          <w:ilvl w:val="0"/>
          <w:numId w:val="18"/>
        </w:numPr>
        <w:spacing w:after="60" w:line="276" w:lineRule="auto"/>
        <w:jc w:val="both"/>
        <w:rPr>
          <w:rFonts w:ascii="Arial" w:hAnsi="Arial" w:cs="Arial"/>
          <w:sz w:val="22"/>
          <w:szCs w:val="22"/>
          <w:lang w:val="fr-FR"/>
        </w:rPr>
      </w:pPr>
      <w:r w:rsidRPr="000A5A97">
        <w:rPr>
          <w:rFonts w:ascii="Arial" w:hAnsi="Arial" w:cs="Arial"/>
          <w:sz w:val="22"/>
          <w:szCs w:val="22"/>
          <w:lang w:val="fr-FR"/>
        </w:rPr>
        <w:t>Mettre en place des ressources pour subventionner les projets sélectionnés (PNUD - 200 ; ADSC - 50 ; TEF - 100)</w:t>
      </w:r>
    </w:p>
    <w:p w14:paraId="507993C2" w14:textId="77777777" w:rsidR="004B1A75" w:rsidRPr="000A5A97" w:rsidRDefault="004B1A75" w:rsidP="00CB39AD">
      <w:pPr>
        <w:spacing w:before="120" w:after="120" w:line="276" w:lineRule="auto"/>
        <w:rPr>
          <w:rFonts w:ascii="Times New Roman" w:hAnsi="Times New Roman"/>
          <w:sz w:val="21"/>
          <w:szCs w:val="21"/>
          <w:lang w:val="fr-FR"/>
        </w:rPr>
      </w:pPr>
    </w:p>
    <w:p w14:paraId="4C31B0A8" w14:textId="5A226143" w:rsidR="008F7F43" w:rsidRPr="00932E45" w:rsidRDefault="008F7F43" w:rsidP="00932E45">
      <w:pPr>
        <w:pStyle w:val="Titre1"/>
        <w:spacing w:before="120" w:after="120" w:line="276" w:lineRule="auto"/>
        <w:rPr>
          <w:rFonts w:ascii="Arial" w:hAnsi="Arial" w:cs="Arial"/>
          <w:szCs w:val="28"/>
          <w:lang w:val="fr-FR"/>
        </w:rPr>
      </w:pPr>
      <w:r w:rsidRPr="00932E45">
        <w:rPr>
          <w:rFonts w:ascii="Arial" w:hAnsi="Arial" w:cs="Arial"/>
          <w:szCs w:val="28"/>
          <w:lang w:val="fr-FR"/>
        </w:rPr>
        <w:t>M</w:t>
      </w:r>
      <w:r w:rsidR="002E76E6">
        <w:rPr>
          <w:rFonts w:ascii="Arial" w:hAnsi="Arial" w:cs="Arial"/>
          <w:szCs w:val="28"/>
          <w:lang w:val="fr-FR"/>
        </w:rPr>
        <w:t>odalités de Gestion</w:t>
      </w:r>
    </w:p>
    <w:p w14:paraId="5749FCF0" w14:textId="77777777" w:rsidR="008A3579" w:rsidRPr="00932E45" w:rsidRDefault="008A3579" w:rsidP="00932E45">
      <w:pPr>
        <w:spacing w:before="240" w:after="120" w:line="276" w:lineRule="auto"/>
        <w:rPr>
          <w:rFonts w:cs="Arial"/>
          <w:b/>
          <w:bCs/>
          <w:sz w:val="24"/>
          <w:lang w:val="fr-FR"/>
        </w:rPr>
      </w:pPr>
      <w:r w:rsidRPr="00932E45">
        <w:rPr>
          <w:rFonts w:cs="Arial"/>
          <w:b/>
          <w:bCs/>
          <w:sz w:val="24"/>
          <w:lang w:val="fr-FR"/>
        </w:rPr>
        <w:t>Ressources pour conduire les activités et partenariat</w:t>
      </w:r>
    </w:p>
    <w:p w14:paraId="6E5945DA" w14:textId="6885B2DF" w:rsidR="008A3579" w:rsidRPr="000A5A97" w:rsidRDefault="008A3579" w:rsidP="00932E45">
      <w:pPr>
        <w:spacing w:line="276" w:lineRule="auto"/>
        <w:rPr>
          <w:lang w:val="fr-FR"/>
        </w:rPr>
      </w:pPr>
      <w:r w:rsidRPr="000A5A97">
        <w:rPr>
          <w:lang w:val="fr-FR"/>
        </w:rPr>
        <w:t>Les ressources qui permettent la mise en œuvre des activités sont fournies par le PNUD. Ce dernier s’appuie sur l’expérience du partenariat entre l’ADSC et le TEF pour mettre en place le financement initial nécessaire au lancement des entreprises des jeunes et des femmes. Le déploiement de ce financement pour atteindre des résultats de performance des entreprises demande l’implication de plusieurs autres partenaires avec lesquels l’ADSC collaborent déjà.</w:t>
      </w:r>
    </w:p>
    <w:p w14:paraId="48AA6BF9" w14:textId="345FABB1" w:rsidR="008A3579" w:rsidRPr="00932E45" w:rsidRDefault="008A3579" w:rsidP="00932E45">
      <w:pPr>
        <w:spacing w:before="240" w:after="120" w:line="276" w:lineRule="auto"/>
        <w:rPr>
          <w:rFonts w:cs="Arial"/>
          <w:b/>
          <w:bCs/>
          <w:sz w:val="24"/>
          <w:lang w:val="fr-FR"/>
        </w:rPr>
      </w:pPr>
      <w:r w:rsidRPr="00932E45">
        <w:rPr>
          <w:rFonts w:cs="Arial"/>
          <w:b/>
          <w:bCs/>
          <w:sz w:val="24"/>
          <w:lang w:val="fr-FR"/>
        </w:rPr>
        <w:t>Mise en œuvre du Projet</w:t>
      </w:r>
    </w:p>
    <w:p w14:paraId="23A94882" w14:textId="71D9B966" w:rsidR="00413379" w:rsidRPr="000A5A97" w:rsidRDefault="00413379" w:rsidP="00932E45">
      <w:pPr>
        <w:spacing w:line="276" w:lineRule="auto"/>
        <w:rPr>
          <w:lang w:val="fr-FR"/>
        </w:rPr>
      </w:pPr>
      <w:r w:rsidRPr="000A5A97">
        <w:rPr>
          <w:lang w:val="fr-FR"/>
        </w:rPr>
        <w:t>Le PNUD et l'ADSC ont un protocole d'accord qui sera utilisé dans la mise en œuvre de ce projet. L'ADSC utilise les ressources pour financer les activités de promotion et de coaching ainsi que la subvention de 5.000 à chaque entrepreneur sélectionné. Les ressources seront mises en œuvre en utilisant les règles et règlements du PNUD et le suivi se fera par le biais de rapports et de vérification de documents et sur le terrain.</w:t>
      </w:r>
    </w:p>
    <w:p w14:paraId="5D4DFA1F" w14:textId="188C0623" w:rsidR="008A3579" w:rsidRPr="000A5A97" w:rsidRDefault="00413379" w:rsidP="00932E45">
      <w:pPr>
        <w:spacing w:line="276" w:lineRule="auto"/>
        <w:rPr>
          <w:lang w:val="fr-FR"/>
        </w:rPr>
      </w:pPr>
      <w:r w:rsidRPr="000A5A97">
        <w:rPr>
          <w:lang w:val="fr-FR"/>
        </w:rPr>
        <w:t xml:space="preserve">Le projet sera mis en œuvre selon la modalité de mise en œuvre directe (MED) du PNUD, conformément à l’accord-cadre sur l’appui </w:t>
      </w:r>
      <w:hyperlink r:id="rId14" w:history="1">
        <w:r w:rsidRPr="000A5A97">
          <w:rPr>
            <w:i/>
            <w:iCs/>
            <w:lang w:val="fr-FR"/>
          </w:rPr>
          <w:t xml:space="preserve"> </w:t>
        </w:r>
        <w:r w:rsidR="008A3579" w:rsidRPr="000A5A97">
          <w:rPr>
            <w:i/>
            <w:iCs/>
            <w:lang w:val="fr-FR"/>
          </w:rPr>
          <w:t>aux activités</w:t>
        </w:r>
        <w:r w:rsidRPr="000A5A97">
          <w:rPr>
            <w:i/>
            <w:iCs/>
            <w:lang w:val="fr-FR"/>
          </w:rPr>
          <w:t xml:space="preserve">   préliminaires et préparatoires</w:t>
        </w:r>
      </w:hyperlink>
      <w:r w:rsidRPr="000A5A97">
        <w:rPr>
          <w:i/>
          <w:iCs/>
          <w:lang w:val="fr-FR"/>
        </w:rPr>
        <w:t xml:space="preserve"> </w:t>
      </w:r>
      <w:r w:rsidRPr="000A5A97">
        <w:rPr>
          <w:lang w:val="fr-FR"/>
        </w:rPr>
        <w:t xml:space="preserve">conclu entre le PNUD et le GCF.                                                                                                                                                                                                                                                                                                                                                                                                                                                                                                                                                                                                                                                                                                                                                                                    </w:t>
      </w:r>
    </w:p>
    <w:p w14:paraId="13815C31" w14:textId="77777777" w:rsidR="008A3579" w:rsidRPr="00932E45" w:rsidRDefault="008A3579" w:rsidP="00932E45">
      <w:pPr>
        <w:spacing w:before="240" w:after="120" w:line="276" w:lineRule="auto"/>
        <w:rPr>
          <w:rFonts w:cs="Arial"/>
          <w:b/>
          <w:bCs/>
          <w:sz w:val="24"/>
          <w:lang w:val="fr-FR"/>
        </w:rPr>
      </w:pPr>
      <w:r w:rsidRPr="00932E45">
        <w:rPr>
          <w:rFonts w:cs="Arial"/>
          <w:b/>
          <w:bCs/>
          <w:sz w:val="24"/>
          <w:lang w:val="fr-FR"/>
        </w:rPr>
        <w:t>Risques et hypothèses</w:t>
      </w:r>
    </w:p>
    <w:p w14:paraId="64BA90FA" w14:textId="4F08D60C" w:rsidR="008A3579" w:rsidRPr="000A5A97" w:rsidRDefault="008A3579" w:rsidP="008A3579">
      <w:pPr>
        <w:spacing w:line="276" w:lineRule="auto"/>
        <w:rPr>
          <w:lang w:val="fr-FR"/>
        </w:rPr>
      </w:pPr>
      <w:r w:rsidRPr="000A5A97">
        <w:rPr>
          <w:lang w:val="fr-FR"/>
        </w:rPr>
        <w:t xml:space="preserve">Dans le contexte actuel de COVID, la faible maitrise des nouvelles technologies de communication pourrait affecter la dynamique de l’entreprise et créer la difficulté de saisie des meilleures opportunités de production et de </w:t>
      </w:r>
      <w:r w:rsidR="00932E45" w:rsidRPr="000A5A97">
        <w:rPr>
          <w:lang w:val="fr-FR"/>
        </w:rPr>
        <w:t>commercialisation ;</w:t>
      </w:r>
    </w:p>
    <w:p w14:paraId="0DDFD63C" w14:textId="75098D5E" w:rsidR="008A3579" w:rsidRPr="000A5A97" w:rsidRDefault="008A3579" w:rsidP="008A3579">
      <w:pPr>
        <w:spacing w:line="276" w:lineRule="auto"/>
        <w:rPr>
          <w:lang w:val="fr-FR"/>
        </w:rPr>
      </w:pPr>
      <w:r w:rsidRPr="000A5A97">
        <w:rPr>
          <w:lang w:val="fr-FR"/>
        </w:rPr>
        <w:t xml:space="preserve">La période de mise en place des ressources n’est pas favorable à l’investissement dans la production de certains secteurs tels que la production végétale et comporte le risque d’une thésaurisation du financement initial. </w:t>
      </w:r>
    </w:p>
    <w:p w14:paraId="46992948" w14:textId="77777777" w:rsidR="008A3579" w:rsidRPr="00932E45" w:rsidRDefault="008A3579" w:rsidP="00932E45">
      <w:pPr>
        <w:spacing w:before="240" w:after="120" w:line="276" w:lineRule="auto"/>
        <w:rPr>
          <w:rFonts w:cs="Arial"/>
          <w:b/>
          <w:bCs/>
          <w:sz w:val="24"/>
          <w:lang w:val="fr-FR"/>
        </w:rPr>
      </w:pPr>
      <w:r w:rsidRPr="00932E45">
        <w:rPr>
          <w:rFonts w:cs="Arial"/>
          <w:b/>
          <w:bCs/>
          <w:sz w:val="24"/>
          <w:lang w:val="fr-FR"/>
        </w:rPr>
        <w:t xml:space="preserve">Coordination du Projet </w:t>
      </w:r>
    </w:p>
    <w:p w14:paraId="6EFA6658" w14:textId="4F5CE754" w:rsidR="00413379" w:rsidRPr="000A5A97" w:rsidRDefault="00932E45" w:rsidP="00932E45">
      <w:pPr>
        <w:spacing w:line="276" w:lineRule="auto"/>
        <w:rPr>
          <w:lang w:val="fr-FR"/>
        </w:rPr>
      </w:pPr>
      <w:r>
        <w:rPr>
          <w:lang w:val="fr-FR"/>
        </w:rPr>
        <w:t>Un/Une Coordonnateur (</w:t>
      </w:r>
      <w:proofErr w:type="spellStart"/>
      <w:r>
        <w:rPr>
          <w:lang w:val="fr-FR"/>
        </w:rPr>
        <w:t>trice</w:t>
      </w:r>
      <w:proofErr w:type="spellEnd"/>
      <w:r>
        <w:rPr>
          <w:lang w:val="fr-FR"/>
        </w:rPr>
        <w:t xml:space="preserve">) </w:t>
      </w:r>
      <w:r w:rsidR="00413379" w:rsidRPr="000A5A97">
        <w:rPr>
          <w:lang w:val="fr-FR"/>
        </w:rPr>
        <w:t>ser</w:t>
      </w:r>
      <w:r>
        <w:rPr>
          <w:lang w:val="fr-FR"/>
        </w:rPr>
        <w:t>a</w:t>
      </w:r>
      <w:r w:rsidR="00413379" w:rsidRPr="000A5A97">
        <w:rPr>
          <w:lang w:val="fr-FR"/>
        </w:rPr>
        <w:t xml:space="preserve"> </w:t>
      </w:r>
      <w:proofErr w:type="spellStart"/>
      <w:r w:rsidR="00413379" w:rsidRPr="000A5A97">
        <w:rPr>
          <w:lang w:val="fr-FR"/>
        </w:rPr>
        <w:t>recruté</w:t>
      </w:r>
      <w:r>
        <w:rPr>
          <w:lang w:val="fr-FR"/>
        </w:rPr>
        <w:t>-e</w:t>
      </w:r>
      <w:proofErr w:type="spellEnd"/>
      <w:r w:rsidR="00413379" w:rsidRPr="000A5A97">
        <w:rPr>
          <w:lang w:val="fr-FR"/>
        </w:rPr>
        <w:t xml:space="preserve"> par l’ADSC en qualité de gestionnaire de projet et dirigera le projet au quotidien pour le compte du PNUD dans le respect des contraintes définies par le comité technique du projet. </w:t>
      </w:r>
      <w:r>
        <w:rPr>
          <w:lang w:val="fr-FR"/>
        </w:rPr>
        <w:t>Il/Elle</w:t>
      </w:r>
      <w:r w:rsidR="00413379" w:rsidRPr="000A5A97">
        <w:rPr>
          <w:lang w:val="fr-FR"/>
        </w:rPr>
        <w:t xml:space="preserve"> sera basée à l’ADSC. Sa fonction prendra fin en décembre lorsque le rapport de clôture du projet et les autres documents requis auront été élaborés et soumis au PNUD</w:t>
      </w:r>
      <w:r>
        <w:rPr>
          <w:lang w:val="fr-FR"/>
        </w:rPr>
        <w:t xml:space="preserve">. Il/Elle </w:t>
      </w:r>
      <w:r w:rsidR="00413379" w:rsidRPr="000A5A97">
        <w:rPr>
          <w:lang w:val="fr-FR"/>
        </w:rPr>
        <w:t>est responsable de la gestion quotidienne et de la prise de décision relative au projet. Sa responsabilité première est de veiller à ce que le projet produise les résultats spécifiés dans le document de projet, conformément au standard de qualité requis et dans les contraintes de temps et de coûts spécifiés. Il sera assisté par un assistant administratif et financier pour les aspects opérationnels du projet. En outre, un spécialiste d</w:t>
      </w:r>
      <w:r>
        <w:rPr>
          <w:lang w:val="fr-FR"/>
        </w:rPr>
        <w:t>u graphisme assistera le Coordonnateur</w:t>
      </w:r>
      <w:r w:rsidR="00413379" w:rsidRPr="000A5A97">
        <w:rPr>
          <w:lang w:val="fr-FR"/>
        </w:rPr>
        <w:t xml:space="preserve"> </w:t>
      </w:r>
      <w:r>
        <w:rPr>
          <w:lang w:val="fr-FR"/>
        </w:rPr>
        <w:t>pour les aspects de communication</w:t>
      </w:r>
      <w:r w:rsidR="002E76E6">
        <w:rPr>
          <w:lang w:val="fr-FR"/>
        </w:rPr>
        <w:t>.</w:t>
      </w:r>
      <w:r w:rsidR="00413379" w:rsidRPr="000A5A97">
        <w:rPr>
          <w:lang w:val="fr-FR"/>
        </w:rPr>
        <w:t xml:space="preserve"> </w:t>
      </w:r>
    </w:p>
    <w:p w14:paraId="29885F78" w14:textId="77777777" w:rsidR="00413379" w:rsidRPr="000A5A97" w:rsidRDefault="00413379" w:rsidP="00413379">
      <w:pPr>
        <w:rPr>
          <w:lang w:val="fr-FR"/>
        </w:rPr>
      </w:pPr>
    </w:p>
    <w:p w14:paraId="4325634A" w14:textId="1D2907B0" w:rsidR="005D41BB" w:rsidRPr="002E76E6" w:rsidRDefault="002E76E6" w:rsidP="002E76E6">
      <w:pPr>
        <w:pStyle w:val="Titre1"/>
        <w:spacing w:before="120" w:after="120" w:line="276" w:lineRule="auto"/>
        <w:rPr>
          <w:rFonts w:ascii="Arial" w:hAnsi="Arial" w:cs="Arial"/>
          <w:szCs w:val="28"/>
          <w:lang w:val="fr-FR"/>
        </w:rPr>
      </w:pPr>
      <w:r>
        <w:rPr>
          <w:rFonts w:ascii="Arial" w:hAnsi="Arial" w:cs="Arial"/>
          <w:szCs w:val="28"/>
          <w:lang w:val="fr-FR"/>
        </w:rPr>
        <w:lastRenderedPageBreak/>
        <w:t xml:space="preserve">Suivi </w:t>
      </w:r>
      <w:r w:rsidR="005D41BB" w:rsidRPr="002E76E6">
        <w:rPr>
          <w:rFonts w:ascii="Arial" w:hAnsi="Arial" w:cs="Arial"/>
          <w:szCs w:val="28"/>
          <w:lang w:val="fr-FR"/>
        </w:rPr>
        <w:t xml:space="preserve"> </w:t>
      </w:r>
    </w:p>
    <w:p w14:paraId="1481668E" w14:textId="5AF01D83" w:rsidR="00413379" w:rsidRPr="000A5A97" w:rsidRDefault="00413379" w:rsidP="002E76E6">
      <w:pPr>
        <w:spacing w:line="276" w:lineRule="auto"/>
        <w:rPr>
          <w:i/>
          <w:lang w:val="fr-FR"/>
        </w:rPr>
      </w:pPr>
      <w:r w:rsidRPr="000A5A97">
        <w:rPr>
          <w:lang w:val="fr-FR"/>
        </w:rPr>
        <w:t>Conformément aux politiques et procédures de programmation du PNUD, le projet fera l’objet d’un suivi selon les plans de suivi et d'évaluation ci-dessous :</w:t>
      </w:r>
    </w:p>
    <w:p w14:paraId="434807DD" w14:textId="77777777" w:rsidR="00413379" w:rsidRPr="000A5A97" w:rsidRDefault="00413379" w:rsidP="00413379">
      <w:pPr>
        <w:rPr>
          <w:lang w:val="fr-FR"/>
        </w:rPr>
      </w:pPr>
    </w:p>
    <w:p w14:paraId="3D627E8E" w14:textId="77777777" w:rsidR="00413379" w:rsidRPr="000A5A97" w:rsidRDefault="00413379" w:rsidP="00413379">
      <w:pPr>
        <w:rPr>
          <w:b/>
          <w:szCs w:val="22"/>
          <w:lang w:val="fr-FR"/>
        </w:rPr>
      </w:pPr>
      <w:r w:rsidRPr="000A5A97">
        <w:rPr>
          <w:b/>
          <w:szCs w:val="22"/>
          <w:lang w:val="fr-FR"/>
        </w:rPr>
        <w:t>Plan de suivi</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3681"/>
        <w:gridCol w:w="1842"/>
        <w:gridCol w:w="2977"/>
      </w:tblGrid>
      <w:tr w:rsidR="002E76E6" w:rsidRPr="000A5A97" w14:paraId="7C79E534" w14:textId="77777777" w:rsidTr="004068EB">
        <w:tc>
          <w:tcPr>
            <w:tcW w:w="1276" w:type="dxa"/>
            <w:shd w:val="clear" w:color="auto" w:fill="auto"/>
            <w:vAlign w:val="center"/>
          </w:tcPr>
          <w:p w14:paraId="069DDC31" w14:textId="77777777" w:rsidR="008A3579" w:rsidRPr="000A5A97" w:rsidRDefault="008A3579" w:rsidP="00562AEB">
            <w:pPr>
              <w:spacing w:after="0"/>
              <w:jc w:val="center"/>
              <w:rPr>
                <w:b/>
                <w:szCs w:val="22"/>
                <w:lang w:val="fr-FR"/>
              </w:rPr>
            </w:pPr>
            <w:r w:rsidRPr="000A5A97">
              <w:rPr>
                <w:b/>
                <w:szCs w:val="22"/>
                <w:lang w:val="fr-FR"/>
              </w:rPr>
              <w:t>Activité de suivi</w:t>
            </w:r>
          </w:p>
        </w:tc>
        <w:tc>
          <w:tcPr>
            <w:tcW w:w="3681" w:type="dxa"/>
            <w:shd w:val="clear" w:color="auto" w:fill="auto"/>
            <w:vAlign w:val="center"/>
          </w:tcPr>
          <w:p w14:paraId="7114E5AA" w14:textId="77777777" w:rsidR="008A3579" w:rsidRPr="000A5A97" w:rsidRDefault="008A3579" w:rsidP="00562AEB">
            <w:pPr>
              <w:spacing w:after="0"/>
              <w:jc w:val="center"/>
              <w:rPr>
                <w:b/>
                <w:szCs w:val="22"/>
                <w:lang w:val="fr-FR"/>
              </w:rPr>
            </w:pPr>
            <w:r w:rsidRPr="000A5A97">
              <w:rPr>
                <w:b/>
                <w:szCs w:val="22"/>
                <w:lang w:val="fr-FR"/>
              </w:rPr>
              <w:t>Objet</w:t>
            </w:r>
          </w:p>
        </w:tc>
        <w:tc>
          <w:tcPr>
            <w:tcW w:w="1842" w:type="dxa"/>
            <w:shd w:val="clear" w:color="auto" w:fill="auto"/>
            <w:vAlign w:val="center"/>
          </w:tcPr>
          <w:p w14:paraId="49BBAEDB" w14:textId="77777777" w:rsidR="008A3579" w:rsidRPr="000A5A97" w:rsidRDefault="008A3579" w:rsidP="00562AEB">
            <w:pPr>
              <w:spacing w:after="0"/>
              <w:jc w:val="center"/>
              <w:rPr>
                <w:b/>
                <w:szCs w:val="22"/>
                <w:lang w:val="fr-FR"/>
              </w:rPr>
            </w:pPr>
            <w:r w:rsidRPr="000A5A97">
              <w:rPr>
                <w:b/>
                <w:szCs w:val="22"/>
                <w:lang w:val="fr-FR"/>
              </w:rPr>
              <w:t>Fréquence</w:t>
            </w:r>
          </w:p>
        </w:tc>
        <w:tc>
          <w:tcPr>
            <w:tcW w:w="2977" w:type="dxa"/>
            <w:shd w:val="clear" w:color="auto" w:fill="auto"/>
            <w:vAlign w:val="center"/>
          </w:tcPr>
          <w:p w14:paraId="402FEA64" w14:textId="77777777" w:rsidR="008A3579" w:rsidRPr="000A5A97" w:rsidRDefault="008A3579" w:rsidP="00562AEB">
            <w:pPr>
              <w:spacing w:after="0"/>
              <w:jc w:val="center"/>
              <w:rPr>
                <w:b/>
                <w:szCs w:val="22"/>
                <w:lang w:val="fr-FR"/>
              </w:rPr>
            </w:pPr>
            <w:r w:rsidRPr="000A5A97">
              <w:rPr>
                <w:b/>
                <w:szCs w:val="22"/>
                <w:lang w:val="fr-FR"/>
              </w:rPr>
              <w:t>Action prévue</w:t>
            </w:r>
          </w:p>
        </w:tc>
      </w:tr>
      <w:tr w:rsidR="002E76E6" w:rsidRPr="000A5A97" w14:paraId="0FD0C444" w14:textId="77777777" w:rsidTr="004068EB">
        <w:tc>
          <w:tcPr>
            <w:tcW w:w="1276" w:type="dxa"/>
            <w:shd w:val="clear" w:color="auto" w:fill="auto"/>
            <w:vAlign w:val="center"/>
          </w:tcPr>
          <w:p w14:paraId="6B5AFDBD" w14:textId="77777777" w:rsidR="008A3579" w:rsidRPr="000A5A97" w:rsidRDefault="008A3579" w:rsidP="00562AEB">
            <w:pPr>
              <w:spacing w:after="0"/>
              <w:jc w:val="left"/>
              <w:rPr>
                <w:b/>
                <w:szCs w:val="22"/>
                <w:lang w:val="fr-FR"/>
              </w:rPr>
            </w:pPr>
            <w:r w:rsidRPr="000A5A97">
              <w:rPr>
                <w:b/>
                <w:szCs w:val="22"/>
                <w:lang w:val="fr-FR"/>
              </w:rPr>
              <w:t>Suivre les progrès vers les résultats</w:t>
            </w:r>
            <w:r w:rsidRPr="000A5A97" w:rsidDel="00313C7F">
              <w:rPr>
                <w:b/>
                <w:szCs w:val="22"/>
                <w:lang w:val="fr-FR"/>
              </w:rPr>
              <w:t xml:space="preserve"> </w:t>
            </w:r>
          </w:p>
        </w:tc>
        <w:tc>
          <w:tcPr>
            <w:tcW w:w="3681" w:type="dxa"/>
            <w:shd w:val="clear" w:color="auto" w:fill="auto"/>
          </w:tcPr>
          <w:p w14:paraId="1CC5339F" w14:textId="1474964F" w:rsidR="008A3579" w:rsidRPr="000A5A97" w:rsidRDefault="008A3579" w:rsidP="00562AEB">
            <w:pPr>
              <w:spacing w:after="0"/>
              <w:jc w:val="left"/>
              <w:rPr>
                <w:szCs w:val="22"/>
                <w:lang w:val="fr-FR"/>
              </w:rPr>
            </w:pPr>
            <w:r w:rsidRPr="000A5A97">
              <w:rPr>
                <w:rFonts w:cs="Arial"/>
                <w:szCs w:val="22"/>
                <w:lang w:val="fr-FR"/>
              </w:rPr>
              <w:t>Recueillir et analyser les données sur les progrès par rapport aux indicateurs de résultats du RRF afin de déterminer les progrès du projet vers l’obtention des produits convenus.</w:t>
            </w:r>
          </w:p>
        </w:tc>
        <w:tc>
          <w:tcPr>
            <w:tcW w:w="1842" w:type="dxa"/>
            <w:shd w:val="clear" w:color="auto" w:fill="auto"/>
          </w:tcPr>
          <w:p w14:paraId="545A2D42" w14:textId="539AC4F2" w:rsidR="008A3579" w:rsidRPr="000A5A97" w:rsidRDefault="002E76E6" w:rsidP="00562AEB">
            <w:pPr>
              <w:spacing w:after="0"/>
              <w:jc w:val="left"/>
              <w:rPr>
                <w:szCs w:val="22"/>
                <w:lang w:val="fr-FR"/>
              </w:rPr>
            </w:pPr>
            <w:r>
              <w:rPr>
                <w:szCs w:val="22"/>
                <w:lang w:val="fr-FR"/>
              </w:rPr>
              <w:t>Mensuelle</w:t>
            </w:r>
            <w:r w:rsidR="008A3579" w:rsidRPr="000A5A97">
              <w:rPr>
                <w:szCs w:val="22"/>
                <w:lang w:val="fr-FR"/>
              </w:rPr>
              <w:t xml:space="preserve"> </w:t>
            </w:r>
          </w:p>
        </w:tc>
        <w:tc>
          <w:tcPr>
            <w:tcW w:w="2977" w:type="dxa"/>
            <w:shd w:val="clear" w:color="auto" w:fill="auto"/>
          </w:tcPr>
          <w:p w14:paraId="2287164B" w14:textId="004F057F" w:rsidR="008A3579" w:rsidRPr="000A5A97" w:rsidRDefault="008A3579" w:rsidP="00562AEB">
            <w:pPr>
              <w:spacing w:after="0"/>
              <w:jc w:val="left"/>
              <w:rPr>
                <w:szCs w:val="22"/>
                <w:lang w:val="fr-FR"/>
              </w:rPr>
            </w:pPr>
            <w:r w:rsidRPr="000A5A97">
              <w:rPr>
                <w:rFonts w:cs="Arial"/>
                <w:szCs w:val="22"/>
                <w:lang w:val="fr-FR"/>
              </w:rPr>
              <w:t>Intervention d</w:t>
            </w:r>
            <w:r w:rsidR="004068EB" w:rsidRPr="000A5A97">
              <w:rPr>
                <w:rFonts w:cs="Arial"/>
                <w:szCs w:val="22"/>
                <w:lang w:val="fr-FR"/>
              </w:rPr>
              <w:t xml:space="preserve">u PNUD </w:t>
            </w:r>
            <w:r w:rsidRPr="000A5A97">
              <w:rPr>
                <w:rFonts w:cs="Arial"/>
                <w:szCs w:val="22"/>
                <w:lang w:val="fr-FR"/>
              </w:rPr>
              <w:t>en cas de progrès plus lents que prévus.</w:t>
            </w:r>
          </w:p>
        </w:tc>
      </w:tr>
      <w:tr w:rsidR="002E76E6" w:rsidRPr="000A5A97" w14:paraId="21649A85" w14:textId="77777777" w:rsidTr="004068EB">
        <w:tc>
          <w:tcPr>
            <w:tcW w:w="1276" w:type="dxa"/>
            <w:shd w:val="clear" w:color="auto" w:fill="auto"/>
            <w:vAlign w:val="center"/>
          </w:tcPr>
          <w:p w14:paraId="570622BE" w14:textId="77777777" w:rsidR="008A3579" w:rsidRPr="000A5A97" w:rsidRDefault="008A3579" w:rsidP="00562AEB">
            <w:pPr>
              <w:spacing w:after="0"/>
              <w:jc w:val="left"/>
              <w:rPr>
                <w:b/>
                <w:szCs w:val="22"/>
                <w:lang w:val="fr-FR"/>
              </w:rPr>
            </w:pPr>
            <w:r w:rsidRPr="000A5A97">
              <w:rPr>
                <w:b/>
                <w:szCs w:val="22"/>
                <w:lang w:val="fr-FR"/>
              </w:rPr>
              <w:t>Suivre et gérer les risques</w:t>
            </w:r>
          </w:p>
        </w:tc>
        <w:tc>
          <w:tcPr>
            <w:tcW w:w="3681" w:type="dxa"/>
            <w:shd w:val="clear" w:color="auto" w:fill="auto"/>
          </w:tcPr>
          <w:p w14:paraId="216FBC26" w14:textId="77777777" w:rsidR="008A3579" w:rsidRPr="000A5A97" w:rsidRDefault="008A3579" w:rsidP="00562AEB">
            <w:pPr>
              <w:spacing w:after="0"/>
              <w:jc w:val="left"/>
              <w:rPr>
                <w:rFonts w:cs="Arial"/>
                <w:szCs w:val="22"/>
                <w:lang w:val="fr-FR"/>
              </w:rPr>
            </w:pPr>
            <w:r w:rsidRPr="000A5A97">
              <w:rPr>
                <w:szCs w:val="22"/>
                <w:lang w:val="fr-FR"/>
              </w:rPr>
              <w:t xml:space="preserve">Identifier les risques spécifiques susceptibles de menacer l’atteinte des résultats prévus. Identifier et suivre les mesures de gestion des risques au moyen d’un registre des risques. </w:t>
            </w:r>
            <w:r w:rsidRPr="000A5A97">
              <w:rPr>
                <w:rFonts w:cs="Arial"/>
                <w:szCs w:val="22"/>
                <w:lang w:val="fr-FR"/>
              </w:rPr>
              <w:t>Ceci comprend les mesures et les plans de suivi qui ont pu être requis selon les normes sociales et environnementales du PNUD. Des audits seront réalisés conformément à la politique d’audit du PNUD pour gérer les risques financiers.</w:t>
            </w:r>
          </w:p>
        </w:tc>
        <w:tc>
          <w:tcPr>
            <w:tcW w:w="1842" w:type="dxa"/>
            <w:shd w:val="clear" w:color="auto" w:fill="auto"/>
            <w:vAlign w:val="center"/>
          </w:tcPr>
          <w:p w14:paraId="5691D193" w14:textId="15A03AC5" w:rsidR="008A3579" w:rsidRPr="000A5A97" w:rsidRDefault="002E76E6" w:rsidP="00562AEB">
            <w:pPr>
              <w:spacing w:after="0"/>
              <w:jc w:val="center"/>
              <w:rPr>
                <w:szCs w:val="22"/>
                <w:lang w:val="fr-FR"/>
              </w:rPr>
            </w:pPr>
            <w:r>
              <w:rPr>
                <w:szCs w:val="22"/>
                <w:lang w:val="fr-FR"/>
              </w:rPr>
              <w:t>Mensuelle</w:t>
            </w:r>
          </w:p>
        </w:tc>
        <w:tc>
          <w:tcPr>
            <w:tcW w:w="2977" w:type="dxa"/>
            <w:shd w:val="clear" w:color="auto" w:fill="auto"/>
          </w:tcPr>
          <w:p w14:paraId="3321D117" w14:textId="3C8BDAD3" w:rsidR="008A3579" w:rsidRPr="000A5A97" w:rsidRDefault="002E76E6" w:rsidP="00562AEB">
            <w:pPr>
              <w:spacing w:after="0"/>
              <w:jc w:val="left"/>
              <w:rPr>
                <w:szCs w:val="22"/>
                <w:lang w:val="fr-FR"/>
              </w:rPr>
            </w:pPr>
            <w:r>
              <w:rPr>
                <w:szCs w:val="22"/>
                <w:lang w:val="fr-FR"/>
              </w:rPr>
              <w:t xml:space="preserve">ADSC </w:t>
            </w:r>
            <w:r w:rsidR="008A3579" w:rsidRPr="000A5A97">
              <w:rPr>
                <w:szCs w:val="22"/>
                <w:lang w:val="fr-FR"/>
              </w:rPr>
              <w:t>identifie les risques et prend des mesures de gestion de ces risques. Elle veille à la tenue et à l’actualisation du registre des risques pour assurer le suivi des risques repérés et des mesures prises.</w:t>
            </w:r>
          </w:p>
        </w:tc>
      </w:tr>
      <w:tr w:rsidR="002E76E6" w:rsidRPr="000A5A97" w14:paraId="6141C66E" w14:textId="77777777" w:rsidTr="004068EB">
        <w:tc>
          <w:tcPr>
            <w:tcW w:w="1276" w:type="dxa"/>
            <w:shd w:val="clear" w:color="auto" w:fill="auto"/>
            <w:vAlign w:val="center"/>
          </w:tcPr>
          <w:p w14:paraId="2B889957" w14:textId="77777777" w:rsidR="008A3579" w:rsidRPr="000A5A97" w:rsidRDefault="008A3579" w:rsidP="00562AEB">
            <w:pPr>
              <w:spacing w:after="0"/>
              <w:jc w:val="left"/>
              <w:rPr>
                <w:b/>
                <w:szCs w:val="22"/>
                <w:lang w:val="fr-FR"/>
              </w:rPr>
            </w:pPr>
            <w:r w:rsidRPr="000A5A97">
              <w:rPr>
                <w:b/>
                <w:szCs w:val="22"/>
                <w:lang w:val="fr-FR"/>
              </w:rPr>
              <w:t>Rapport du projet</w:t>
            </w:r>
          </w:p>
        </w:tc>
        <w:tc>
          <w:tcPr>
            <w:tcW w:w="3681" w:type="dxa"/>
            <w:shd w:val="clear" w:color="auto" w:fill="auto"/>
            <w:vAlign w:val="center"/>
          </w:tcPr>
          <w:p w14:paraId="326F5AD9" w14:textId="77777777" w:rsidR="008A3579" w:rsidRPr="000A5A97" w:rsidRDefault="008A3579" w:rsidP="00562AEB">
            <w:pPr>
              <w:spacing w:after="0"/>
              <w:jc w:val="left"/>
              <w:rPr>
                <w:szCs w:val="22"/>
                <w:lang w:val="fr-FR"/>
              </w:rPr>
            </w:pPr>
            <w:r w:rsidRPr="000A5A97">
              <w:rPr>
                <w:rFonts w:cs="Arial"/>
                <w:szCs w:val="22"/>
                <w:lang w:val="fr-FR"/>
              </w:rPr>
              <w:t xml:space="preserve">Il sera présenté au comité de pilotage du projet et aux parties prenantes clés un rapport d’avancement qui comprendra les données sur les résultats obtenus au regard des cibles </w:t>
            </w:r>
          </w:p>
        </w:tc>
        <w:tc>
          <w:tcPr>
            <w:tcW w:w="1842" w:type="dxa"/>
            <w:shd w:val="clear" w:color="auto" w:fill="auto"/>
            <w:vAlign w:val="center"/>
          </w:tcPr>
          <w:p w14:paraId="74FD122B" w14:textId="0ACD2069" w:rsidR="008A3579" w:rsidRPr="000A5A97" w:rsidRDefault="008A3579" w:rsidP="00562AEB">
            <w:pPr>
              <w:spacing w:after="0"/>
              <w:jc w:val="center"/>
              <w:rPr>
                <w:szCs w:val="22"/>
                <w:lang w:val="fr-FR"/>
              </w:rPr>
            </w:pPr>
            <w:r w:rsidRPr="000A5A97">
              <w:rPr>
                <w:szCs w:val="22"/>
                <w:lang w:val="fr-FR"/>
              </w:rPr>
              <w:t>A la fin du projet (rapport final)</w:t>
            </w:r>
          </w:p>
        </w:tc>
        <w:tc>
          <w:tcPr>
            <w:tcW w:w="2977" w:type="dxa"/>
            <w:shd w:val="clear" w:color="auto" w:fill="auto"/>
          </w:tcPr>
          <w:p w14:paraId="2BAEE592" w14:textId="77777777" w:rsidR="008A3579" w:rsidRPr="000A5A97" w:rsidRDefault="008A3579" w:rsidP="00562AEB">
            <w:pPr>
              <w:spacing w:after="0"/>
              <w:rPr>
                <w:szCs w:val="22"/>
                <w:lang w:val="fr-FR"/>
              </w:rPr>
            </w:pPr>
          </w:p>
        </w:tc>
      </w:tr>
    </w:tbl>
    <w:p w14:paraId="33664E84" w14:textId="77777777" w:rsidR="00413379" w:rsidRPr="000A5A97" w:rsidRDefault="00413379" w:rsidP="00413379">
      <w:pPr>
        <w:rPr>
          <w:szCs w:val="22"/>
          <w:lang w:val="fr-FR"/>
        </w:rPr>
      </w:pPr>
    </w:p>
    <w:p w14:paraId="76DEEEA6" w14:textId="77777777" w:rsidR="00413379" w:rsidRPr="000A5A97" w:rsidRDefault="00413379" w:rsidP="00413379">
      <w:pPr>
        <w:rPr>
          <w:szCs w:val="22"/>
          <w:lang w:val="fr-FR"/>
        </w:rPr>
      </w:pPr>
    </w:p>
    <w:p w14:paraId="1D9B0940" w14:textId="77777777" w:rsidR="00C87F4B" w:rsidRPr="000A5A97" w:rsidRDefault="00C87F4B" w:rsidP="00CB39AD">
      <w:pPr>
        <w:spacing w:line="276" w:lineRule="auto"/>
        <w:rPr>
          <w:rFonts w:ascii="Times New Roman" w:hAnsi="Times New Roman"/>
          <w:szCs w:val="22"/>
          <w:lang w:val="fr-FR"/>
        </w:rPr>
      </w:pPr>
    </w:p>
    <w:p w14:paraId="16A46B21" w14:textId="77777777" w:rsidR="00C87F4B" w:rsidRPr="000A5A97" w:rsidRDefault="00C87F4B" w:rsidP="00CB39AD">
      <w:pPr>
        <w:spacing w:line="276" w:lineRule="auto"/>
        <w:rPr>
          <w:rFonts w:ascii="Times New Roman" w:hAnsi="Times New Roman"/>
          <w:szCs w:val="22"/>
          <w:lang w:val="fr-FR"/>
        </w:rPr>
      </w:pPr>
    </w:p>
    <w:p w14:paraId="0D18F939" w14:textId="77777777" w:rsidR="00D479BB" w:rsidRPr="000A5A97" w:rsidRDefault="00D479BB" w:rsidP="00CB39AD">
      <w:pPr>
        <w:spacing w:line="276" w:lineRule="auto"/>
        <w:rPr>
          <w:rFonts w:ascii="Times New Roman" w:hAnsi="Times New Roman"/>
          <w:szCs w:val="22"/>
          <w:lang w:val="fr-FR"/>
        </w:rPr>
      </w:pPr>
    </w:p>
    <w:p w14:paraId="48D4CC12" w14:textId="77777777" w:rsidR="00D479BB" w:rsidRPr="000A5A97" w:rsidRDefault="00D479BB" w:rsidP="00CB39AD">
      <w:pPr>
        <w:spacing w:line="276" w:lineRule="auto"/>
        <w:rPr>
          <w:rFonts w:ascii="Times New Roman" w:hAnsi="Times New Roman"/>
          <w:szCs w:val="22"/>
          <w:lang w:val="fr-FR"/>
        </w:rPr>
      </w:pPr>
    </w:p>
    <w:p w14:paraId="497059C5" w14:textId="77777777" w:rsidR="00ED2613" w:rsidRPr="000A5A97" w:rsidRDefault="00ED2613" w:rsidP="00CB39AD">
      <w:pPr>
        <w:spacing w:line="276" w:lineRule="auto"/>
        <w:rPr>
          <w:rFonts w:ascii="Times New Roman" w:hAnsi="Times New Roman"/>
          <w:b/>
          <w:sz w:val="21"/>
          <w:szCs w:val="21"/>
          <w:lang w:val="fr-FR"/>
        </w:rPr>
        <w:sectPr w:rsidR="00ED2613" w:rsidRPr="000A5A97" w:rsidSect="00302288">
          <w:headerReference w:type="default" r:id="rId15"/>
          <w:footerReference w:type="even" r:id="rId16"/>
          <w:footerReference w:type="default" r:id="rId17"/>
          <w:headerReference w:type="first" r:id="rId18"/>
          <w:pgSz w:w="11906" w:h="16838" w:code="9"/>
          <w:pgMar w:top="864" w:right="1152" w:bottom="864" w:left="1152" w:header="720" w:footer="432" w:gutter="0"/>
          <w:cols w:space="708"/>
          <w:titlePg/>
          <w:docGrid w:linePitch="360"/>
        </w:sectPr>
      </w:pPr>
    </w:p>
    <w:p w14:paraId="35955096" w14:textId="10698F29" w:rsidR="00413379" w:rsidRPr="000A5A97" w:rsidRDefault="00110EBE" w:rsidP="00413379">
      <w:pPr>
        <w:pStyle w:val="Titre1"/>
        <w:spacing w:line="276" w:lineRule="auto"/>
        <w:rPr>
          <w:rFonts w:ascii="Times New Roman" w:hAnsi="Times New Roman"/>
          <w:szCs w:val="28"/>
          <w:lang w:val="fr-FR"/>
        </w:rPr>
      </w:pPr>
      <w:r w:rsidRPr="000A5A97">
        <w:rPr>
          <w:rFonts w:ascii="Times New Roman" w:hAnsi="Times New Roman"/>
          <w:szCs w:val="28"/>
          <w:lang w:val="fr-FR"/>
        </w:rPr>
        <w:lastRenderedPageBreak/>
        <w:t>plan de travail</w:t>
      </w:r>
      <w:r w:rsidR="006A14D2" w:rsidRPr="000A5A97">
        <w:rPr>
          <w:rFonts w:ascii="Times New Roman" w:hAnsi="Times New Roman"/>
          <w:szCs w:val="28"/>
          <w:lang w:val="fr-FR"/>
        </w:rPr>
        <w:t xml:space="preserve"> </w:t>
      </w:r>
    </w:p>
    <w:tbl>
      <w:tblPr>
        <w:tblW w:w="15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62"/>
        <w:gridCol w:w="3664"/>
        <w:gridCol w:w="704"/>
        <w:gridCol w:w="22"/>
        <w:gridCol w:w="312"/>
        <w:gridCol w:w="415"/>
        <w:gridCol w:w="470"/>
        <w:gridCol w:w="256"/>
        <w:gridCol w:w="727"/>
        <w:gridCol w:w="1506"/>
        <w:gridCol w:w="1065"/>
        <w:gridCol w:w="89"/>
        <w:gridCol w:w="1240"/>
        <w:gridCol w:w="1273"/>
      </w:tblGrid>
      <w:tr w:rsidR="00110EBE" w:rsidRPr="000A5A97" w14:paraId="2CECEF43" w14:textId="77777777" w:rsidTr="00110EBE">
        <w:trPr>
          <w:cantSplit/>
          <w:trHeight w:val="195"/>
        </w:trPr>
        <w:tc>
          <w:tcPr>
            <w:tcW w:w="3562" w:type="dxa"/>
            <w:vMerge w:val="restart"/>
            <w:shd w:val="clear" w:color="auto" w:fill="FFFF99"/>
          </w:tcPr>
          <w:p w14:paraId="3C414A7B" w14:textId="77777777" w:rsidR="00413379" w:rsidRPr="000A5A97" w:rsidRDefault="00413379" w:rsidP="00562AEB">
            <w:pPr>
              <w:spacing w:before="60"/>
              <w:jc w:val="center"/>
              <w:rPr>
                <w:b/>
                <w:bCs/>
                <w:sz w:val="18"/>
                <w:lang w:val="fr-FR"/>
              </w:rPr>
            </w:pPr>
            <w:r w:rsidRPr="000A5A97">
              <w:rPr>
                <w:b/>
                <w:bCs/>
                <w:sz w:val="18"/>
                <w:lang w:val="fr-FR"/>
              </w:rPr>
              <w:t>PRODUITS ESCOMPTÉS</w:t>
            </w:r>
          </w:p>
          <w:p w14:paraId="2FD32F2B" w14:textId="77777777" w:rsidR="00413379" w:rsidRPr="000A5A97" w:rsidRDefault="00413379" w:rsidP="00562AEB">
            <w:pPr>
              <w:jc w:val="left"/>
              <w:rPr>
                <w:rFonts w:ascii="Arial Narrow" w:hAnsi="Arial Narrow"/>
                <w:i/>
                <w:sz w:val="18"/>
                <w:szCs w:val="18"/>
                <w:lang w:val="fr-FR"/>
              </w:rPr>
            </w:pPr>
          </w:p>
        </w:tc>
        <w:tc>
          <w:tcPr>
            <w:tcW w:w="3664" w:type="dxa"/>
            <w:vMerge w:val="restart"/>
            <w:shd w:val="clear" w:color="auto" w:fill="FFFF99"/>
          </w:tcPr>
          <w:p w14:paraId="53C56055" w14:textId="77777777" w:rsidR="00413379" w:rsidRPr="000A5A97" w:rsidRDefault="00413379" w:rsidP="00562AEB">
            <w:pPr>
              <w:spacing w:before="60"/>
              <w:jc w:val="center"/>
              <w:rPr>
                <w:bCs/>
                <w:i/>
                <w:sz w:val="16"/>
                <w:szCs w:val="16"/>
                <w:lang w:val="fr-FR"/>
              </w:rPr>
            </w:pPr>
            <w:r w:rsidRPr="000A5A97">
              <w:rPr>
                <w:b/>
                <w:bCs/>
                <w:sz w:val="18"/>
                <w:lang w:val="fr-FR"/>
              </w:rPr>
              <w:t>ACTIVITÉS PRÉVUES</w:t>
            </w:r>
          </w:p>
        </w:tc>
        <w:tc>
          <w:tcPr>
            <w:tcW w:w="2906" w:type="dxa"/>
            <w:gridSpan w:val="7"/>
            <w:shd w:val="clear" w:color="auto" w:fill="FFFF99"/>
            <w:vAlign w:val="center"/>
          </w:tcPr>
          <w:p w14:paraId="560D834E" w14:textId="77777777" w:rsidR="00413379" w:rsidRPr="000A5A97" w:rsidRDefault="00413379" w:rsidP="00562AEB">
            <w:pPr>
              <w:spacing w:before="60"/>
              <w:jc w:val="center"/>
              <w:rPr>
                <w:b/>
                <w:bCs/>
                <w:sz w:val="18"/>
                <w:lang w:val="fr-FR"/>
              </w:rPr>
            </w:pPr>
            <w:r w:rsidRPr="000A5A97">
              <w:rPr>
                <w:b/>
                <w:bCs/>
                <w:sz w:val="18"/>
                <w:lang w:val="fr-FR"/>
              </w:rPr>
              <w:t>Budget prévu par année</w:t>
            </w:r>
          </w:p>
        </w:tc>
        <w:tc>
          <w:tcPr>
            <w:tcW w:w="1506" w:type="dxa"/>
            <w:vMerge w:val="restart"/>
            <w:shd w:val="clear" w:color="auto" w:fill="FFFF99"/>
            <w:vAlign w:val="center"/>
          </w:tcPr>
          <w:p w14:paraId="5F732CCA" w14:textId="77777777" w:rsidR="00413379" w:rsidRPr="000A5A97" w:rsidRDefault="00413379" w:rsidP="00562AEB">
            <w:pPr>
              <w:jc w:val="center"/>
              <w:rPr>
                <w:b/>
                <w:bCs/>
                <w:sz w:val="17"/>
                <w:szCs w:val="17"/>
                <w:lang w:val="fr-FR"/>
              </w:rPr>
            </w:pPr>
            <w:r w:rsidRPr="000A5A97">
              <w:rPr>
                <w:b/>
                <w:bCs/>
                <w:sz w:val="17"/>
                <w:szCs w:val="17"/>
                <w:lang w:val="fr-FR"/>
              </w:rPr>
              <w:t>PARTIE RESPONSABLE</w:t>
            </w:r>
          </w:p>
        </w:tc>
        <w:tc>
          <w:tcPr>
            <w:tcW w:w="3667" w:type="dxa"/>
            <w:gridSpan w:val="4"/>
            <w:shd w:val="clear" w:color="auto" w:fill="FFFF99"/>
            <w:vAlign w:val="center"/>
          </w:tcPr>
          <w:p w14:paraId="608A18F9" w14:textId="77777777" w:rsidR="00413379" w:rsidRPr="000A5A97" w:rsidRDefault="00413379" w:rsidP="00562AEB">
            <w:pPr>
              <w:spacing w:before="60"/>
              <w:jc w:val="center"/>
              <w:rPr>
                <w:b/>
                <w:bCs/>
                <w:sz w:val="18"/>
                <w:lang w:val="fr-FR"/>
              </w:rPr>
            </w:pPr>
            <w:r w:rsidRPr="000A5A97">
              <w:rPr>
                <w:b/>
                <w:bCs/>
                <w:sz w:val="18"/>
                <w:lang w:val="fr-FR"/>
              </w:rPr>
              <w:t>BUDGET PRÉVU</w:t>
            </w:r>
          </w:p>
        </w:tc>
      </w:tr>
      <w:tr w:rsidR="00413379" w:rsidRPr="000A5A97" w14:paraId="34334EF6" w14:textId="77777777" w:rsidTr="00110EBE">
        <w:trPr>
          <w:cantSplit/>
          <w:trHeight w:val="467"/>
        </w:trPr>
        <w:tc>
          <w:tcPr>
            <w:tcW w:w="3562" w:type="dxa"/>
            <w:vMerge/>
            <w:shd w:val="clear" w:color="auto" w:fill="CCCCCC"/>
            <w:vAlign w:val="center"/>
          </w:tcPr>
          <w:p w14:paraId="18A398E9" w14:textId="77777777" w:rsidR="00413379" w:rsidRPr="000A5A97" w:rsidRDefault="00413379" w:rsidP="00562AEB">
            <w:pPr>
              <w:jc w:val="center"/>
              <w:rPr>
                <w:sz w:val="18"/>
                <w:lang w:val="fr-FR"/>
              </w:rPr>
            </w:pPr>
          </w:p>
        </w:tc>
        <w:tc>
          <w:tcPr>
            <w:tcW w:w="3664" w:type="dxa"/>
            <w:vMerge/>
            <w:tcBorders>
              <w:bottom w:val="single" w:sz="4" w:space="0" w:color="auto"/>
            </w:tcBorders>
            <w:shd w:val="clear" w:color="auto" w:fill="CCCCCC"/>
            <w:vAlign w:val="center"/>
          </w:tcPr>
          <w:p w14:paraId="572DE5A1" w14:textId="77777777" w:rsidR="00413379" w:rsidRPr="000A5A97" w:rsidRDefault="00413379" w:rsidP="00562AEB">
            <w:pPr>
              <w:jc w:val="center"/>
              <w:rPr>
                <w:sz w:val="18"/>
                <w:lang w:val="fr-FR"/>
              </w:rPr>
            </w:pPr>
          </w:p>
        </w:tc>
        <w:tc>
          <w:tcPr>
            <w:tcW w:w="726" w:type="dxa"/>
            <w:gridSpan w:val="2"/>
            <w:tcBorders>
              <w:bottom w:val="single" w:sz="4" w:space="0" w:color="auto"/>
            </w:tcBorders>
            <w:shd w:val="clear" w:color="auto" w:fill="FFFF99"/>
            <w:vAlign w:val="center"/>
          </w:tcPr>
          <w:p w14:paraId="16CF3A2A" w14:textId="77777777" w:rsidR="00413379" w:rsidRPr="000A5A97" w:rsidRDefault="00413379" w:rsidP="00562AEB">
            <w:pPr>
              <w:jc w:val="center"/>
              <w:rPr>
                <w:sz w:val="16"/>
                <w:lang w:val="fr-FR"/>
              </w:rPr>
            </w:pPr>
            <w:r w:rsidRPr="000A5A97">
              <w:rPr>
                <w:sz w:val="16"/>
                <w:lang w:val="fr-FR"/>
              </w:rPr>
              <w:t>T1</w:t>
            </w:r>
          </w:p>
        </w:tc>
        <w:tc>
          <w:tcPr>
            <w:tcW w:w="727" w:type="dxa"/>
            <w:gridSpan w:val="2"/>
            <w:tcBorders>
              <w:bottom w:val="single" w:sz="4" w:space="0" w:color="auto"/>
            </w:tcBorders>
            <w:shd w:val="clear" w:color="auto" w:fill="FFFF99"/>
            <w:vAlign w:val="center"/>
          </w:tcPr>
          <w:p w14:paraId="26F72D95" w14:textId="77777777" w:rsidR="00413379" w:rsidRPr="000A5A97" w:rsidRDefault="00413379" w:rsidP="00562AEB">
            <w:pPr>
              <w:jc w:val="center"/>
              <w:rPr>
                <w:sz w:val="16"/>
                <w:lang w:val="fr-FR"/>
              </w:rPr>
            </w:pPr>
            <w:r w:rsidRPr="000A5A97">
              <w:rPr>
                <w:sz w:val="16"/>
                <w:lang w:val="fr-FR"/>
              </w:rPr>
              <w:t>T2</w:t>
            </w:r>
          </w:p>
        </w:tc>
        <w:tc>
          <w:tcPr>
            <w:tcW w:w="726" w:type="dxa"/>
            <w:gridSpan w:val="2"/>
            <w:tcBorders>
              <w:bottom w:val="single" w:sz="4" w:space="0" w:color="auto"/>
            </w:tcBorders>
            <w:shd w:val="clear" w:color="auto" w:fill="FFFF99"/>
            <w:vAlign w:val="center"/>
          </w:tcPr>
          <w:p w14:paraId="739C7C2D" w14:textId="77777777" w:rsidR="00413379" w:rsidRPr="000A5A97" w:rsidRDefault="00413379" w:rsidP="00562AEB">
            <w:pPr>
              <w:jc w:val="center"/>
              <w:rPr>
                <w:sz w:val="16"/>
                <w:lang w:val="fr-FR"/>
              </w:rPr>
            </w:pPr>
            <w:r w:rsidRPr="000A5A97">
              <w:rPr>
                <w:sz w:val="16"/>
                <w:lang w:val="fr-FR"/>
              </w:rPr>
              <w:t>T3</w:t>
            </w:r>
          </w:p>
        </w:tc>
        <w:tc>
          <w:tcPr>
            <w:tcW w:w="727" w:type="dxa"/>
            <w:tcBorders>
              <w:bottom w:val="single" w:sz="4" w:space="0" w:color="auto"/>
            </w:tcBorders>
            <w:shd w:val="clear" w:color="auto" w:fill="FFFF99"/>
            <w:vAlign w:val="center"/>
          </w:tcPr>
          <w:p w14:paraId="5554BC63" w14:textId="77777777" w:rsidR="00413379" w:rsidRPr="000A5A97" w:rsidRDefault="00413379" w:rsidP="00562AEB">
            <w:pPr>
              <w:jc w:val="center"/>
              <w:rPr>
                <w:sz w:val="16"/>
                <w:lang w:val="fr-FR"/>
              </w:rPr>
            </w:pPr>
            <w:r w:rsidRPr="000A5A97">
              <w:rPr>
                <w:sz w:val="16"/>
                <w:lang w:val="fr-FR"/>
              </w:rPr>
              <w:t>T4</w:t>
            </w:r>
          </w:p>
        </w:tc>
        <w:tc>
          <w:tcPr>
            <w:tcW w:w="1506" w:type="dxa"/>
            <w:vMerge/>
            <w:shd w:val="clear" w:color="auto" w:fill="FFFF99"/>
            <w:vAlign w:val="center"/>
          </w:tcPr>
          <w:p w14:paraId="2ECC0D7D" w14:textId="77777777" w:rsidR="00413379" w:rsidRPr="000A5A97" w:rsidRDefault="00413379" w:rsidP="00562AEB">
            <w:pPr>
              <w:jc w:val="center"/>
              <w:rPr>
                <w:sz w:val="18"/>
                <w:lang w:val="fr-FR"/>
              </w:rPr>
            </w:pPr>
          </w:p>
        </w:tc>
        <w:tc>
          <w:tcPr>
            <w:tcW w:w="1154" w:type="dxa"/>
            <w:gridSpan w:val="2"/>
            <w:shd w:val="clear" w:color="auto" w:fill="FFFF99"/>
            <w:vAlign w:val="center"/>
          </w:tcPr>
          <w:p w14:paraId="652E40FC" w14:textId="77777777" w:rsidR="00413379" w:rsidRPr="000A5A97" w:rsidRDefault="00413379" w:rsidP="00562AEB">
            <w:pPr>
              <w:jc w:val="center"/>
              <w:rPr>
                <w:sz w:val="16"/>
                <w:lang w:val="fr-FR"/>
              </w:rPr>
            </w:pPr>
            <w:r w:rsidRPr="000A5A97">
              <w:rPr>
                <w:sz w:val="16"/>
                <w:lang w:val="fr-FR"/>
              </w:rPr>
              <w:t>Source de financement</w:t>
            </w:r>
          </w:p>
        </w:tc>
        <w:tc>
          <w:tcPr>
            <w:tcW w:w="1240" w:type="dxa"/>
            <w:shd w:val="clear" w:color="auto" w:fill="FFFF99"/>
            <w:vAlign w:val="center"/>
          </w:tcPr>
          <w:p w14:paraId="3A7FF5D0" w14:textId="77777777" w:rsidR="00413379" w:rsidRPr="000A5A97" w:rsidRDefault="00413379" w:rsidP="00562AEB">
            <w:pPr>
              <w:jc w:val="center"/>
              <w:rPr>
                <w:sz w:val="16"/>
                <w:lang w:val="fr-FR"/>
              </w:rPr>
            </w:pPr>
            <w:r w:rsidRPr="000A5A97">
              <w:rPr>
                <w:sz w:val="16"/>
                <w:lang w:val="fr-FR"/>
              </w:rPr>
              <w:t xml:space="preserve">Poste budgétaire </w:t>
            </w:r>
          </w:p>
        </w:tc>
        <w:tc>
          <w:tcPr>
            <w:tcW w:w="1273" w:type="dxa"/>
            <w:shd w:val="clear" w:color="auto" w:fill="FFFF99"/>
            <w:vAlign w:val="center"/>
          </w:tcPr>
          <w:p w14:paraId="5A06067A" w14:textId="77777777" w:rsidR="00413379" w:rsidRPr="000A5A97" w:rsidRDefault="00413379" w:rsidP="00562AEB">
            <w:pPr>
              <w:jc w:val="center"/>
              <w:rPr>
                <w:sz w:val="16"/>
                <w:lang w:val="fr-FR"/>
              </w:rPr>
            </w:pPr>
            <w:r w:rsidRPr="000A5A97">
              <w:rPr>
                <w:sz w:val="16"/>
                <w:lang w:val="fr-FR"/>
              </w:rPr>
              <w:t>Montant</w:t>
            </w:r>
          </w:p>
        </w:tc>
      </w:tr>
      <w:tr w:rsidR="00110EBE" w:rsidRPr="000A5A97" w14:paraId="4568C9D9" w14:textId="77777777" w:rsidTr="00110EBE">
        <w:trPr>
          <w:cantSplit/>
          <w:trHeight w:val="1512"/>
        </w:trPr>
        <w:tc>
          <w:tcPr>
            <w:tcW w:w="3562" w:type="dxa"/>
            <w:vMerge w:val="restart"/>
          </w:tcPr>
          <w:p w14:paraId="2F6908A3" w14:textId="77777777" w:rsidR="00413379" w:rsidRPr="000A5A97" w:rsidRDefault="00413379" w:rsidP="00562AEB">
            <w:pPr>
              <w:rPr>
                <w:i/>
                <w:sz w:val="20"/>
                <w:szCs w:val="20"/>
                <w:lang w:val="fr-FR"/>
              </w:rPr>
            </w:pPr>
            <w:r w:rsidRPr="000A5A97">
              <w:rPr>
                <w:i/>
                <w:sz w:val="20"/>
                <w:szCs w:val="20"/>
                <w:lang w:val="fr-FR"/>
              </w:rPr>
              <w:t xml:space="preserve">Résultat 1 : Le partenariat entre la Fondation Tony </w:t>
            </w:r>
            <w:proofErr w:type="spellStart"/>
            <w:r w:rsidRPr="000A5A97">
              <w:rPr>
                <w:i/>
                <w:sz w:val="20"/>
                <w:szCs w:val="20"/>
                <w:lang w:val="fr-FR"/>
              </w:rPr>
              <w:t>Elumelu</w:t>
            </w:r>
            <w:proofErr w:type="spellEnd"/>
            <w:r w:rsidRPr="000A5A97">
              <w:rPr>
                <w:i/>
                <w:sz w:val="20"/>
                <w:szCs w:val="20"/>
                <w:lang w:val="fr-FR"/>
              </w:rPr>
              <w:t>, l'ADSC et le PNUD est renforcé sur la base d'activités concrètes visant à promouvoir l'esprit d'entreprise chez les jeunes.</w:t>
            </w:r>
          </w:p>
          <w:p w14:paraId="6B7D23D0" w14:textId="77777777" w:rsidR="00413379" w:rsidRPr="000A5A97" w:rsidRDefault="00413379" w:rsidP="00562AEB">
            <w:pPr>
              <w:rPr>
                <w:i/>
                <w:sz w:val="20"/>
                <w:szCs w:val="20"/>
                <w:lang w:val="fr-FR"/>
              </w:rPr>
            </w:pPr>
            <w:r w:rsidRPr="000A5A97">
              <w:rPr>
                <w:i/>
                <w:sz w:val="20"/>
                <w:szCs w:val="20"/>
                <w:lang w:val="fr-FR"/>
              </w:rPr>
              <w:t>Résultat total 1 (déjà financé par le PNUD Bénin Co)</w:t>
            </w:r>
          </w:p>
          <w:p w14:paraId="6C6D58BD" w14:textId="77777777" w:rsidR="00413379" w:rsidRPr="000A5A97" w:rsidRDefault="00413379" w:rsidP="00562AEB">
            <w:pPr>
              <w:rPr>
                <w:i/>
                <w:sz w:val="20"/>
                <w:szCs w:val="20"/>
                <w:lang w:val="fr-FR"/>
              </w:rPr>
            </w:pPr>
          </w:p>
        </w:tc>
        <w:tc>
          <w:tcPr>
            <w:tcW w:w="3664" w:type="dxa"/>
            <w:vAlign w:val="center"/>
          </w:tcPr>
          <w:p w14:paraId="39F23D3A" w14:textId="77777777" w:rsidR="00413379" w:rsidRPr="000A5A97" w:rsidRDefault="00413379" w:rsidP="00413379">
            <w:pPr>
              <w:pStyle w:val="Paragraphedeliste"/>
              <w:numPr>
                <w:ilvl w:val="1"/>
                <w:numId w:val="19"/>
              </w:numPr>
              <w:spacing w:before="40"/>
              <w:jc w:val="both"/>
              <w:rPr>
                <w:iCs/>
                <w:sz w:val="16"/>
                <w:lang w:val="fr-FR"/>
              </w:rPr>
            </w:pPr>
            <w:r w:rsidRPr="000A5A97">
              <w:rPr>
                <w:iCs/>
                <w:sz w:val="16"/>
                <w:lang w:val="fr-FR"/>
              </w:rPr>
              <w:t xml:space="preserve">Promouvoir et accompagner les jeunes à postuler pour le concours annuel de la Fondation Tony </w:t>
            </w:r>
            <w:proofErr w:type="spellStart"/>
            <w:r w:rsidRPr="000A5A97">
              <w:rPr>
                <w:iCs/>
                <w:sz w:val="16"/>
                <w:lang w:val="fr-FR"/>
              </w:rPr>
              <w:t>Elumelu</w:t>
            </w:r>
            <w:proofErr w:type="spellEnd"/>
            <w:r w:rsidRPr="000A5A97">
              <w:rPr>
                <w:iCs/>
                <w:sz w:val="16"/>
                <w:lang w:val="fr-FR"/>
              </w:rPr>
              <w:t xml:space="preserve"> </w:t>
            </w:r>
          </w:p>
          <w:p w14:paraId="1D23A992" w14:textId="77777777" w:rsidR="00413379" w:rsidRPr="000A5A97" w:rsidRDefault="00413379" w:rsidP="00562AEB">
            <w:pPr>
              <w:pStyle w:val="Paragraphedeliste"/>
              <w:spacing w:before="40"/>
              <w:ind w:left="360"/>
              <w:rPr>
                <w:iCs/>
                <w:sz w:val="16"/>
                <w:lang w:val="fr-FR"/>
              </w:rPr>
            </w:pPr>
          </w:p>
          <w:p w14:paraId="7C2D1529" w14:textId="77777777" w:rsidR="00413379" w:rsidRPr="000A5A97" w:rsidRDefault="00413379" w:rsidP="00562AEB">
            <w:pPr>
              <w:pStyle w:val="Paragraphedeliste"/>
              <w:spacing w:before="40"/>
              <w:ind w:left="360"/>
              <w:rPr>
                <w:i/>
                <w:sz w:val="16"/>
                <w:lang w:val="fr-FR"/>
              </w:rPr>
            </w:pPr>
            <w:r w:rsidRPr="000A5A97">
              <w:rPr>
                <w:i/>
                <w:sz w:val="16"/>
                <w:lang w:val="fr-FR"/>
              </w:rPr>
              <w:t>Objectif : Au moins 3000 candidatures béninoises sont sélectionnées pour la première phase du concours</w:t>
            </w:r>
          </w:p>
        </w:tc>
        <w:tc>
          <w:tcPr>
            <w:tcW w:w="726" w:type="dxa"/>
            <w:gridSpan w:val="2"/>
            <w:shd w:val="clear" w:color="auto" w:fill="323E4F" w:themeFill="text2" w:themeFillShade="BF"/>
            <w:vAlign w:val="center"/>
          </w:tcPr>
          <w:p w14:paraId="6891BEE7" w14:textId="77777777" w:rsidR="00413379" w:rsidRPr="000A5A97" w:rsidRDefault="00413379" w:rsidP="00562AEB">
            <w:pPr>
              <w:rPr>
                <w:lang w:val="fr-FR"/>
              </w:rPr>
            </w:pPr>
          </w:p>
        </w:tc>
        <w:tc>
          <w:tcPr>
            <w:tcW w:w="727" w:type="dxa"/>
            <w:gridSpan w:val="2"/>
            <w:vAlign w:val="center"/>
          </w:tcPr>
          <w:p w14:paraId="3A558B3F" w14:textId="77777777" w:rsidR="00413379" w:rsidRPr="000A5A97" w:rsidRDefault="00413379" w:rsidP="00562AEB">
            <w:pPr>
              <w:rPr>
                <w:lang w:val="fr-FR"/>
              </w:rPr>
            </w:pPr>
          </w:p>
        </w:tc>
        <w:tc>
          <w:tcPr>
            <w:tcW w:w="726" w:type="dxa"/>
            <w:gridSpan w:val="2"/>
            <w:vAlign w:val="center"/>
          </w:tcPr>
          <w:p w14:paraId="7ECBB5DE" w14:textId="77777777" w:rsidR="00413379" w:rsidRPr="000A5A97" w:rsidRDefault="00413379" w:rsidP="00562AEB">
            <w:pPr>
              <w:rPr>
                <w:lang w:val="fr-FR"/>
              </w:rPr>
            </w:pPr>
          </w:p>
        </w:tc>
        <w:tc>
          <w:tcPr>
            <w:tcW w:w="727" w:type="dxa"/>
            <w:vAlign w:val="center"/>
          </w:tcPr>
          <w:p w14:paraId="680CF883" w14:textId="77777777" w:rsidR="00413379" w:rsidRPr="000A5A97" w:rsidRDefault="00413379" w:rsidP="00562AEB">
            <w:pPr>
              <w:rPr>
                <w:lang w:val="fr-FR"/>
              </w:rPr>
            </w:pPr>
          </w:p>
        </w:tc>
        <w:tc>
          <w:tcPr>
            <w:tcW w:w="1506" w:type="dxa"/>
            <w:vAlign w:val="center"/>
          </w:tcPr>
          <w:p w14:paraId="54A6A4F6" w14:textId="77777777" w:rsidR="00413379" w:rsidRPr="000A5A97" w:rsidRDefault="00413379" w:rsidP="00562AEB">
            <w:pPr>
              <w:rPr>
                <w:szCs w:val="22"/>
                <w:lang w:val="fr-FR"/>
              </w:rPr>
            </w:pPr>
            <w:r w:rsidRPr="000A5A97">
              <w:rPr>
                <w:szCs w:val="22"/>
                <w:lang w:val="fr-FR"/>
              </w:rPr>
              <w:t>ADSC</w:t>
            </w:r>
          </w:p>
        </w:tc>
        <w:tc>
          <w:tcPr>
            <w:tcW w:w="1154" w:type="dxa"/>
            <w:gridSpan w:val="2"/>
            <w:vAlign w:val="center"/>
          </w:tcPr>
          <w:p w14:paraId="18135660" w14:textId="77777777" w:rsidR="00413379" w:rsidRPr="000A5A97" w:rsidRDefault="00413379" w:rsidP="00562AEB">
            <w:pPr>
              <w:rPr>
                <w:szCs w:val="22"/>
                <w:lang w:val="fr-FR"/>
              </w:rPr>
            </w:pPr>
            <w:r w:rsidRPr="000A5A97">
              <w:rPr>
                <w:szCs w:val="22"/>
                <w:lang w:val="fr-FR"/>
              </w:rPr>
              <w:t xml:space="preserve">PNUD </w:t>
            </w:r>
          </w:p>
        </w:tc>
        <w:tc>
          <w:tcPr>
            <w:tcW w:w="1240" w:type="dxa"/>
            <w:vAlign w:val="center"/>
          </w:tcPr>
          <w:p w14:paraId="38E54EA8" w14:textId="77777777" w:rsidR="00413379" w:rsidRPr="000A5A97" w:rsidRDefault="00413379" w:rsidP="00562AEB">
            <w:pPr>
              <w:rPr>
                <w:szCs w:val="22"/>
                <w:lang w:val="fr-FR"/>
              </w:rPr>
            </w:pPr>
          </w:p>
        </w:tc>
        <w:tc>
          <w:tcPr>
            <w:tcW w:w="1273" w:type="dxa"/>
          </w:tcPr>
          <w:p w14:paraId="50075C32" w14:textId="77777777" w:rsidR="00413379" w:rsidRPr="000A5A97" w:rsidRDefault="00413379" w:rsidP="00562AEB">
            <w:pPr>
              <w:tabs>
                <w:tab w:val="left" w:pos="321"/>
              </w:tabs>
              <w:ind w:right="39"/>
              <w:jc w:val="center"/>
              <w:rPr>
                <w:szCs w:val="22"/>
                <w:lang w:val="fr-FR"/>
              </w:rPr>
            </w:pPr>
            <w:r w:rsidRPr="000A5A97">
              <w:rPr>
                <w:szCs w:val="22"/>
                <w:lang w:val="fr-FR"/>
              </w:rPr>
              <w:t>9,000</w:t>
            </w:r>
          </w:p>
        </w:tc>
      </w:tr>
      <w:tr w:rsidR="00110EBE" w:rsidRPr="000A5A97" w14:paraId="2FB17C8D" w14:textId="77777777" w:rsidTr="00110EBE">
        <w:trPr>
          <w:cantSplit/>
          <w:trHeight w:val="2247"/>
        </w:trPr>
        <w:tc>
          <w:tcPr>
            <w:tcW w:w="3562" w:type="dxa"/>
            <w:vMerge/>
          </w:tcPr>
          <w:p w14:paraId="601461F2" w14:textId="77777777" w:rsidR="00413379" w:rsidRPr="000A5A97" w:rsidRDefault="00413379" w:rsidP="00562AEB">
            <w:pPr>
              <w:rPr>
                <w:lang w:val="fr-FR"/>
              </w:rPr>
            </w:pPr>
          </w:p>
        </w:tc>
        <w:tc>
          <w:tcPr>
            <w:tcW w:w="3664" w:type="dxa"/>
            <w:vAlign w:val="center"/>
          </w:tcPr>
          <w:p w14:paraId="08FE7222" w14:textId="77777777" w:rsidR="00413379" w:rsidRPr="000A5A97" w:rsidRDefault="00413379" w:rsidP="00413379">
            <w:pPr>
              <w:pStyle w:val="Paragraphedeliste"/>
              <w:numPr>
                <w:ilvl w:val="1"/>
                <w:numId w:val="19"/>
              </w:numPr>
              <w:spacing w:before="40"/>
              <w:jc w:val="both"/>
              <w:rPr>
                <w:iCs/>
                <w:sz w:val="16"/>
                <w:lang w:val="fr-FR"/>
              </w:rPr>
            </w:pPr>
            <w:r w:rsidRPr="000A5A97">
              <w:rPr>
                <w:iCs/>
                <w:sz w:val="16"/>
                <w:lang w:val="fr-FR"/>
              </w:rPr>
              <w:t>Mettre en place des programmes de coaching pour les candidats sélectionnés pour la 2ème phase de la compétition</w:t>
            </w:r>
          </w:p>
          <w:p w14:paraId="246D4770" w14:textId="77777777" w:rsidR="00413379" w:rsidRPr="000A5A97" w:rsidRDefault="00413379" w:rsidP="00562AEB">
            <w:pPr>
              <w:pStyle w:val="Paragraphedeliste"/>
              <w:spacing w:before="40"/>
              <w:ind w:left="360"/>
              <w:rPr>
                <w:iCs/>
                <w:sz w:val="16"/>
                <w:lang w:val="fr-FR"/>
              </w:rPr>
            </w:pPr>
          </w:p>
          <w:p w14:paraId="0F5A594D" w14:textId="77777777" w:rsidR="00413379" w:rsidRPr="000A5A97" w:rsidRDefault="00413379" w:rsidP="00562AEB">
            <w:pPr>
              <w:pStyle w:val="Paragraphedeliste"/>
              <w:spacing w:before="40"/>
              <w:ind w:left="360"/>
              <w:rPr>
                <w:i/>
                <w:sz w:val="16"/>
                <w:lang w:val="fr-FR"/>
              </w:rPr>
            </w:pPr>
            <w:r w:rsidRPr="000A5A97">
              <w:rPr>
                <w:i/>
                <w:sz w:val="16"/>
                <w:lang w:val="fr-FR"/>
              </w:rPr>
              <w:t>Objectif </w:t>
            </w:r>
            <w:proofErr w:type="gramStart"/>
            <w:r w:rsidRPr="000A5A97">
              <w:rPr>
                <w:i/>
                <w:sz w:val="16"/>
                <w:lang w:val="fr-FR"/>
              </w:rPr>
              <w:t>1:</w:t>
            </w:r>
            <w:proofErr w:type="gramEnd"/>
            <w:r w:rsidRPr="000A5A97">
              <w:rPr>
                <w:i/>
                <w:sz w:val="16"/>
                <w:lang w:val="fr-FR"/>
              </w:rPr>
              <w:t xml:space="preserve"> Au moins 1000 candidats sélectionnés pour la phase Pitch</w:t>
            </w:r>
          </w:p>
          <w:p w14:paraId="182088A3" w14:textId="77777777" w:rsidR="00413379" w:rsidRPr="000A5A97" w:rsidRDefault="00413379" w:rsidP="00562AEB">
            <w:pPr>
              <w:pStyle w:val="Paragraphedeliste"/>
              <w:spacing w:before="40"/>
              <w:ind w:left="360"/>
              <w:rPr>
                <w:i/>
                <w:sz w:val="16"/>
                <w:lang w:val="fr-FR"/>
              </w:rPr>
            </w:pPr>
            <w:r w:rsidRPr="000A5A97">
              <w:rPr>
                <w:i/>
                <w:sz w:val="16"/>
                <w:lang w:val="fr-FR"/>
              </w:rPr>
              <w:t>Objectif 2 : Au moins 200 lauréats béninois sélectionnés par TEF.</w:t>
            </w:r>
            <w:r w:rsidRPr="000A5A97">
              <w:rPr>
                <w:iCs/>
                <w:sz w:val="16"/>
                <w:lang w:val="fr-FR"/>
              </w:rPr>
              <w:t xml:space="preserve"> </w:t>
            </w:r>
          </w:p>
        </w:tc>
        <w:tc>
          <w:tcPr>
            <w:tcW w:w="726" w:type="dxa"/>
            <w:gridSpan w:val="2"/>
            <w:vAlign w:val="center"/>
          </w:tcPr>
          <w:p w14:paraId="33268864" w14:textId="77777777" w:rsidR="00413379" w:rsidRPr="000A5A97" w:rsidRDefault="00413379" w:rsidP="00562AEB">
            <w:pPr>
              <w:rPr>
                <w:lang w:val="fr-FR"/>
              </w:rPr>
            </w:pPr>
          </w:p>
        </w:tc>
        <w:tc>
          <w:tcPr>
            <w:tcW w:w="727" w:type="dxa"/>
            <w:gridSpan w:val="2"/>
            <w:shd w:val="clear" w:color="auto" w:fill="323E4F" w:themeFill="text2" w:themeFillShade="BF"/>
            <w:vAlign w:val="center"/>
          </w:tcPr>
          <w:p w14:paraId="684B407D" w14:textId="77777777" w:rsidR="00413379" w:rsidRPr="000A5A97" w:rsidRDefault="00413379" w:rsidP="00562AEB">
            <w:pPr>
              <w:rPr>
                <w:lang w:val="fr-FR"/>
              </w:rPr>
            </w:pPr>
          </w:p>
        </w:tc>
        <w:tc>
          <w:tcPr>
            <w:tcW w:w="726" w:type="dxa"/>
            <w:gridSpan w:val="2"/>
            <w:shd w:val="clear" w:color="auto" w:fill="323E4F" w:themeFill="text2" w:themeFillShade="BF"/>
            <w:vAlign w:val="center"/>
          </w:tcPr>
          <w:p w14:paraId="29F5E549" w14:textId="77777777" w:rsidR="00413379" w:rsidRPr="000A5A97" w:rsidRDefault="00413379" w:rsidP="00562AEB">
            <w:pPr>
              <w:rPr>
                <w:lang w:val="fr-FR"/>
              </w:rPr>
            </w:pPr>
          </w:p>
        </w:tc>
        <w:tc>
          <w:tcPr>
            <w:tcW w:w="727" w:type="dxa"/>
            <w:vAlign w:val="center"/>
          </w:tcPr>
          <w:p w14:paraId="5969EE3F" w14:textId="77777777" w:rsidR="00413379" w:rsidRPr="000A5A97" w:rsidRDefault="00413379" w:rsidP="00562AEB">
            <w:pPr>
              <w:rPr>
                <w:lang w:val="fr-FR"/>
              </w:rPr>
            </w:pPr>
          </w:p>
        </w:tc>
        <w:tc>
          <w:tcPr>
            <w:tcW w:w="1506" w:type="dxa"/>
            <w:vAlign w:val="center"/>
          </w:tcPr>
          <w:p w14:paraId="4FE5C0BA" w14:textId="77777777" w:rsidR="00413379" w:rsidRPr="000A5A97" w:rsidRDefault="00413379" w:rsidP="00562AEB">
            <w:pPr>
              <w:rPr>
                <w:szCs w:val="22"/>
                <w:lang w:val="fr-FR"/>
              </w:rPr>
            </w:pPr>
            <w:r w:rsidRPr="000A5A97">
              <w:rPr>
                <w:szCs w:val="22"/>
                <w:lang w:val="fr-FR"/>
              </w:rPr>
              <w:t>ADSC</w:t>
            </w:r>
          </w:p>
        </w:tc>
        <w:tc>
          <w:tcPr>
            <w:tcW w:w="1154" w:type="dxa"/>
            <w:gridSpan w:val="2"/>
            <w:vAlign w:val="center"/>
          </w:tcPr>
          <w:p w14:paraId="3C1F713E" w14:textId="77777777" w:rsidR="00413379" w:rsidRPr="000A5A97" w:rsidRDefault="00413379" w:rsidP="00562AEB">
            <w:pPr>
              <w:rPr>
                <w:szCs w:val="22"/>
                <w:lang w:val="fr-FR"/>
              </w:rPr>
            </w:pPr>
            <w:r w:rsidRPr="000A5A97">
              <w:rPr>
                <w:szCs w:val="22"/>
                <w:lang w:val="fr-FR"/>
              </w:rPr>
              <w:t>PNUD</w:t>
            </w:r>
          </w:p>
        </w:tc>
        <w:tc>
          <w:tcPr>
            <w:tcW w:w="1240" w:type="dxa"/>
            <w:vAlign w:val="center"/>
          </w:tcPr>
          <w:p w14:paraId="1D4830EA" w14:textId="77777777" w:rsidR="00413379" w:rsidRPr="000A5A97" w:rsidRDefault="00413379" w:rsidP="00562AEB">
            <w:pPr>
              <w:rPr>
                <w:szCs w:val="22"/>
                <w:lang w:val="fr-FR"/>
              </w:rPr>
            </w:pPr>
          </w:p>
        </w:tc>
        <w:tc>
          <w:tcPr>
            <w:tcW w:w="1273" w:type="dxa"/>
          </w:tcPr>
          <w:p w14:paraId="75894F3B" w14:textId="77777777" w:rsidR="00413379" w:rsidRPr="000A5A97" w:rsidRDefault="00413379" w:rsidP="00562AEB">
            <w:pPr>
              <w:jc w:val="center"/>
              <w:rPr>
                <w:szCs w:val="22"/>
                <w:lang w:val="fr-FR"/>
              </w:rPr>
            </w:pPr>
            <w:r w:rsidRPr="000A5A97">
              <w:rPr>
                <w:szCs w:val="22"/>
                <w:lang w:val="fr-FR"/>
              </w:rPr>
              <w:t>31,590</w:t>
            </w:r>
          </w:p>
        </w:tc>
      </w:tr>
      <w:tr w:rsidR="00413379" w:rsidRPr="000A5A97" w14:paraId="121C39AF" w14:textId="77777777" w:rsidTr="00110EBE">
        <w:trPr>
          <w:cantSplit/>
          <w:trHeight w:val="377"/>
        </w:trPr>
        <w:tc>
          <w:tcPr>
            <w:tcW w:w="3562" w:type="dxa"/>
            <w:vMerge/>
            <w:tcBorders>
              <w:bottom w:val="single" w:sz="4" w:space="0" w:color="auto"/>
            </w:tcBorders>
          </w:tcPr>
          <w:p w14:paraId="4703F946" w14:textId="77777777" w:rsidR="00413379" w:rsidRPr="000A5A97" w:rsidRDefault="00413379" w:rsidP="00562AEB">
            <w:pPr>
              <w:rPr>
                <w:lang w:val="fr-FR"/>
              </w:rPr>
            </w:pPr>
          </w:p>
        </w:tc>
        <w:tc>
          <w:tcPr>
            <w:tcW w:w="10470" w:type="dxa"/>
            <w:gridSpan w:val="12"/>
            <w:tcBorders>
              <w:top w:val="single" w:sz="4" w:space="0" w:color="auto"/>
              <w:bottom w:val="single" w:sz="4" w:space="0" w:color="auto"/>
            </w:tcBorders>
            <w:shd w:val="clear" w:color="auto" w:fill="F2F2F2"/>
            <w:vAlign w:val="center"/>
          </w:tcPr>
          <w:p w14:paraId="7E7EDA47" w14:textId="77777777" w:rsidR="00413379" w:rsidRPr="000A5A97" w:rsidRDefault="00413379" w:rsidP="00562AEB">
            <w:pPr>
              <w:spacing w:after="0"/>
              <w:jc w:val="left"/>
              <w:rPr>
                <w:b/>
                <w:szCs w:val="22"/>
                <w:lang w:val="fr-FR"/>
              </w:rPr>
            </w:pPr>
            <w:r w:rsidRPr="000A5A97">
              <w:rPr>
                <w:b/>
                <w:szCs w:val="22"/>
                <w:lang w:val="fr-FR"/>
              </w:rPr>
              <w:t>Total partiel pour le produit 1</w:t>
            </w:r>
          </w:p>
        </w:tc>
        <w:tc>
          <w:tcPr>
            <w:tcW w:w="1273" w:type="dxa"/>
            <w:tcBorders>
              <w:top w:val="single" w:sz="4" w:space="0" w:color="auto"/>
              <w:bottom w:val="single" w:sz="4" w:space="0" w:color="auto"/>
            </w:tcBorders>
            <w:shd w:val="clear" w:color="auto" w:fill="F2F2F2"/>
          </w:tcPr>
          <w:p w14:paraId="6388CC8D" w14:textId="77777777" w:rsidR="00413379" w:rsidRPr="000A5A97" w:rsidRDefault="00413379" w:rsidP="00562AEB">
            <w:pPr>
              <w:spacing w:after="0"/>
              <w:rPr>
                <w:szCs w:val="22"/>
                <w:lang w:val="fr-FR"/>
              </w:rPr>
            </w:pPr>
            <w:r w:rsidRPr="000A5A97">
              <w:rPr>
                <w:szCs w:val="22"/>
                <w:lang w:val="fr-FR"/>
              </w:rPr>
              <w:t>40,590</w:t>
            </w:r>
          </w:p>
        </w:tc>
      </w:tr>
      <w:tr w:rsidR="00110EBE" w:rsidRPr="000A5A97" w14:paraId="151C326B" w14:textId="77777777" w:rsidTr="00110EBE">
        <w:trPr>
          <w:cantSplit/>
          <w:trHeight w:val="90"/>
        </w:trPr>
        <w:tc>
          <w:tcPr>
            <w:tcW w:w="3562" w:type="dxa"/>
            <w:vMerge w:val="restart"/>
          </w:tcPr>
          <w:p w14:paraId="5FDD96BC" w14:textId="77777777" w:rsidR="00413379" w:rsidRPr="000A5A97" w:rsidRDefault="00413379" w:rsidP="00562AEB">
            <w:pPr>
              <w:rPr>
                <w:lang w:val="fr-FR"/>
              </w:rPr>
            </w:pPr>
            <w:r w:rsidRPr="000A5A97">
              <w:rPr>
                <w:lang w:val="fr-FR"/>
              </w:rPr>
              <w:t xml:space="preserve">Résultat 2 : Au moins 350 entrepreneurs reçoivent un soutien financier pour lancer ou développer leur entreprise. </w:t>
            </w:r>
          </w:p>
          <w:p w14:paraId="52EC91EC" w14:textId="77777777" w:rsidR="00413379" w:rsidRPr="000A5A97" w:rsidRDefault="00413379" w:rsidP="00562AEB">
            <w:pPr>
              <w:rPr>
                <w:lang w:val="fr-FR"/>
              </w:rPr>
            </w:pPr>
          </w:p>
        </w:tc>
        <w:tc>
          <w:tcPr>
            <w:tcW w:w="3664" w:type="dxa"/>
            <w:tcBorders>
              <w:top w:val="single" w:sz="4" w:space="0" w:color="auto"/>
            </w:tcBorders>
            <w:vAlign w:val="center"/>
          </w:tcPr>
          <w:p w14:paraId="58A6EC97" w14:textId="77777777" w:rsidR="00413379" w:rsidRPr="000A5A97" w:rsidRDefault="00413379" w:rsidP="00413379">
            <w:pPr>
              <w:pStyle w:val="Paragraphedeliste"/>
              <w:numPr>
                <w:ilvl w:val="1"/>
                <w:numId w:val="20"/>
              </w:numPr>
              <w:spacing w:before="40"/>
              <w:jc w:val="both"/>
              <w:rPr>
                <w:iCs/>
                <w:sz w:val="16"/>
                <w:lang w:val="fr-FR"/>
              </w:rPr>
            </w:pPr>
            <w:r w:rsidRPr="000A5A97">
              <w:rPr>
                <w:iCs/>
                <w:sz w:val="16"/>
                <w:lang w:val="fr-FR"/>
              </w:rPr>
              <w:t>Activité - Mettre en place des ressources pour appuyer le relèvement du défi de l’innovation pour les projets sélectionnés (PNUD - 200)</w:t>
            </w:r>
          </w:p>
          <w:p w14:paraId="16CF3F3D" w14:textId="77777777" w:rsidR="00413379" w:rsidRPr="000A5A97" w:rsidRDefault="00413379" w:rsidP="00562AEB">
            <w:pPr>
              <w:pStyle w:val="Paragraphedeliste"/>
              <w:spacing w:before="40"/>
              <w:ind w:left="360"/>
              <w:rPr>
                <w:iCs/>
                <w:sz w:val="16"/>
                <w:lang w:val="fr-FR"/>
              </w:rPr>
            </w:pPr>
          </w:p>
          <w:p w14:paraId="27B9CD98" w14:textId="77777777" w:rsidR="00413379" w:rsidRPr="000A5A97" w:rsidRDefault="00413379" w:rsidP="00562AEB">
            <w:pPr>
              <w:pStyle w:val="Paragraphedeliste"/>
              <w:spacing w:before="40"/>
              <w:ind w:left="360"/>
              <w:rPr>
                <w:iCs/>
                <w:sz w:val="16"/>
                <w:lang w:val="fr-FR"/>
              </w:rPr>
            </w:pPr>
            <w:r w:rsidRPr="000A5A97">
              <w:rPr>
                <w:iCs/>
                <w:sz w:val="16"/>
                <w:lang w:val="fr-FR"/>
              </w:rPr>
              <w:t>Objectif : 189 jeunes béninois sélectionnés par TEF sont subventionnés et reçoivent 5,000$ chacun du PNUD</w:t>
            </w:r>
          </w:p>
        </w:tc>
        <w:tc>
          <w:tcPr>
            <w:tcW w:w="726" w:type="dxa"/>
            <w:gridSpan w:val="2"/>
            <w:tcBorders>
              <w:top w:val="single" w:sz="4" w:space="0" w:color="auto"/>
            </w:tcBorders>
            <w:vAlign w:val="center"/>
          </w:tcPr>
          <w:p w14:paraId="1E11102B" w14:textId="77777777" w:rsidR="00413379" w:rsidRPr="000A5A97" w:rsidRDefault="00413379" w:rsidP="00562AEB">
            <w:pPr>
              <w:rPr>
                <w:lang w:val="fr-FR"/>
              </w:rPr>
            </w:pPr>
          </w:p>
        </w:tc>
        <w:tc>
          <w:tcPr>
            <w:tcW w:w="727" w:type="dxa"/>
            <w:gridSpan w:val="2"/>
            <w:tcBorders>
              <w:top w:val="single" w:sz="4" w:space="0" w:color="auto"/>
            </w:tcBorders>
            <w:vAlign w:val="center"/>
          </w:tcPr>
          <w:p w14:paraId="0FA61432" w14:textId="77777777" w:rsidR="00413379" w:rsidRPr="000A5A97" w:rsidRDefault="00413379" w:rsidP="00562AEB">
            <w:pPr>
              <w:rPr>
                <w:lang w:val="fr-FR"/>
              </w:rPr>
            </w:pPr>
          </w:p>
        </w:tc>
        <w:tc>
          <w:tcPr>
            <w:tcW w:w="726" w:type="dxa"/>
            <w:gridSpan w:val="2"/>
            <w:tcBorders>
              <w:top w:val="single" w:sz="4" w:space="0" w:color="auto"/>
            </w:tcBorders>
            <w:vAlign w:val="center"/>
          </w:tcPr>
          <w:p w14:paraId="71617C15" w14:textId="77777777" w:rsidR="00413379" w:rsidRPr="000A5A97" w:rsidRDefault="00413379" w:rsidP="00562AEB">
            <w:pPr>
              <w:rPr>
                <w:lang w:val="fr-FR"/>
              </w:rPr>
            </w:pPr>
          </w:p>
        </w:tc>
        <w:tc>
          <w:tcPr>
            <w:tcW w:w="727" w:type="dxa"/>
            <w:tcBorders>
              <w:top w:val="single" w:sz="4" w:space="0" w:color="auto"/>
            </w:tcBorders>
            <w:shd w:val="clear" w:color="auto" w:fill="323E4F" w:themeFill="text2" w:themeFillShade="BF"/>
            <w:vAlign w:val="center"/>
          </w:tcPr>
          <w:p w14:paraId="43E21B21" w14:textId="77777777" w:rsidR="00413379" w:rsidRPr="000A5A97" w:rsidRDefault="00413379" w:rsidP="00562AEB">
            <w:pPr>
              <w:rPr>
                <w:lang w:val="fr-FR"/>
              </w:rPr>
            </w:pPr>
          </w:p>
        </w:tc>
        <w:tc>
          <w:tcPr>
            <w:tcW w:w="1506" w:type="dxa"/>
            <w:tcBorders>
              <w:top w:val="single" w:sz="4" w:space="0" w:color="auto"/>
            </w:tcBorders>
            <w:vAlign w:val="center"/>
          </w:tcPr>
          <w:p w14:paraId="5437913C" w14:textId="77777777" w:rsidR="00413379" w:rsidRPr="000A5A97" w:rsidRDefault="00413379" w:rsidP="00562AEB">
            <w:pPr>
              <w:rPr>
                <w:szCs w:val="22"/>
                <w:lang w:val="fr-FR"/>
              </w:rPr>
            </w:pPr>
            <w:r w:rsidRPr="000A5A97">
              <w:rPr>
                <w:szCs w:val="22"/>
                <w:lang w:val="fr-FR"/>
              </w:rPr>
              <w:t>ADSC</w:t>
            </w:r>
          </w:p>
        </w:tc>
        <w:tc>
          <w:tcPr>
            <w:tcW w:w="1065" w:type="dxa"/>
            <w:tcBorders>
              <w:top w:val="single" w:sz="4" w:space="0" w:color="auto"/>
            </w:tcBorders>
            <w:vAlign w:val="center"/>
          </w:tcPr>
          <w:p w14:paraId="72CB993D" w14:textId="77777777" w:rsidR="00413379" w:rsidRPr="000A5A97" w:rsidRDefault="00413379" w:rsidP="00562AEB">
            <w:pPr>
              <w:rPr>
                <w:szCs w:val="22"/>
                <w:lang w:val="fr-FR"/>
              </w:rPr>
            </w:pPr>
            <w:r w:rsidRPr="000A5A97">
              <w:rPr>
                <w:szCs w:val="22"/>
                <w:lang w:val="fr-FR"/>
              </w:rPr>
              <w:t>PNUD</w:t>
            </w:r>
          </w:p>
        </w:tc>
        <w:tc>
          <w:tcPr>
            <w:tcW w:w="1329" w:type="dxa"/>
            <w:gridSpan w:val="2"/>
            <w:tcBorders>
              <w:top w:val="single" w:sz="4" w:space="0" w:color="auto"/>
            </w:tcBorders>
            <w:vAlign w:val="center"/>
          </w:tcPr>
          <w:p w14:paraId="07C2AF53" w14:textId="77777777" w:rsidR="00413379" w:rsidRPr="000A5A97" w:rsidRDefault="00413379" w:rsidP="00562AEB">
            <w:pPr>
              <w:rPr>
                <w:szCs w:val="22"/>
                <w:lang w:val="fr-FR"/>
              </w:rPr>
            </w:pPr>
          </w:p>
        </w:tc>
        <w:tc>
          <w:tcPr>
            <w:tcW w:w="1273" w:type="dxa"/>
            <w:tcBorders>
              <w:top w:val="single" w:sz="4" w:space="0" w:color="auto"/>
            </w:tcBorders>
          </w:tcPr>
          <w:p w14:paraId="52CCC7DC" w14:textId="77777777" w:rsidR="00413379" w:rsidRPr="000A5A97" w:rsidRDefault="00413379" w:rsidP="00562AEB">
            <w:pPr>
              <w:jc w:val="center"/>
              <w:rPr>
                <w:szCs w:val="22"/>
                <w:lang w:val="fr-FR"/>
              </w:rPr>
            </w:pPr>
            <w:r w:rsidRPr="000A5A97">
              <w:rPr>
                <w:szCs w:val="22"/>
                <w:lang w:val="fr-FR"/>
              </w:rPr>
              <w:t>945,000</w:t>
            </w:r>
          </w:p>
        </w:tc>
      </w:tr>
      <w:tr w:rsidR="00110EBE" w:rsidRPr="000A5A97" w14:paraId="6461C9BE" w14:textId="77777777" w:rsidTr="00110EBE">
        <w:trPr>
          <w:cantSplit/>
          <w:trHeight w:val="90"/>
        </w:trPr>
        <w:tc>
          <w:tcPr>
            <w:tcW w:w="3562" w:type="dxa"/>
            <w:vMerge/>
          </w:tcPr>
          <w:p w14:paraId="75C6F122" w14:textId="77777777" w:rsidR="00413379" w:rsidRPr="000A5A97" w:rsidRDefault="00413379" w:rsidP="00562AEB">
            <w:pPr>
              <w:rPr>
                <w:lang w:val="fr-FR"/>
              </w:rPr>
            </w:pPr>
          </w:p>
        </w:tc>
        <w:tc>
          <w:tcPr>
            <w:tcW w:w="3664" w:type="dxa"/>
            <w:tcBorders>
              <w:top w:val="single" w:sz="4" w:space="0" w:color="auto"/>
            </w:tcBorders>
            <w:vAlign w:val="center"/>
          </w:tcPr>
          <w:p w14:paraId="6C1DA361" w14:textId="77777777" w:rsidR="00413379" w:rsidRPr="000A5A97" w:rsidRDefault="00413379" w:rsidP="00413379">
            <w:pPr>
              <w:pStyle w:val="Paragraphedeliste"/>
              <w:numPr>
                <w:ilvl w:val="1"/>
                <w:numId w:val="20"/>
              </w:numPr>
              <w:spacing w:before="40"/>
              <w:jc w:val="both"/>
              <w:rPr>
                <w:iCs/>
                <w:sz w:val="16"/>
                <w:lang w:val="fr-FR"/>
              </w:rPr>
            </w:pPr>
            <w:r w:rsidRPr="000A5A97">
              <w:rPr>
                <w:iCs/>
                <w:sz w:val="16"/>
                <w:lang w:val="fr-FR"/>
              </w:rPr>
              <w:t>Recruter 3 personnes pour assurer la gestion et le suivi des ressources sur 2 mois (Nov. et Déc 2021)</w:t>
            </w:r>
          </w:p>
        </w:tc>
        <w:tc>
          <w:tcPr>
            <w:tcW w:w="726" w:type="dxa"/>
            <w:gridSpan w:val="2"/>
            <w:tcBorders>
              <w:top w:val="single" w:sz="4" w:space="0" w:color="auto"/>
            </w:tcBorders>
            <w:vAlign w:val="center"/>
          </w:tcPr>
          <w:p w14:paraId="4811AE28" w14:textId="77777777" w:rsidR="00413379" w:rsidRPr="000A5A97" w:rsidRDefault="00413379" w:rsidP="00562AEB">
            <w:pPr>
              <w:rPr>
                <w:lang w:val="fr-FR"/>
              </w:rPr>
            </w:pPr>
          </w:p>
        </w:tc>
        <w:tc>
          <w:tcPr>
            <w:tcW w:w="727" w:type="dxa"/>
            <w:gridSpan w:val="2"/>
            <w:tcBorders>
              <w:top w:val="single" w:sz="4" w:space="0" w:color="auto"/>
            </w:tcBorders>
            <w:vAlign w:val="center"/>
          </w:tcPr>
          <w:p w14:paraId="6953205A" w14:textId="77777777" w:rsidR="00413379" w:rsidRPr="000A5A97" w:rsidRDefault="00413379" w:rsidP="00562AEB">
            <w:pPr>
              <w:rPr>
                <w:lang w:val="fr-FR"/>
              </w:rPr>
            </w:pPr>
          </w:p>
        </w:tc>
        <w:tc>
          <w:tcPr>
            <w:tcW w:w="726" w:type="dxa"/>
            <w:gridSpan w:val="2"/>
            <w:tcBorders>
              <w:top w:val="single" w:sz="4" w:space="0" w:color="auto"/>
            </w:tcBorders>
            <w:vAlign w:val="center"/>
          </w:tcPr>
          <w:p w14:paraId="350D0525" w14:textId="77777777" w:rsidR="00413379" w:rsidRPr="000A5A97" w:rsidRDefault="00413379" w:rsidP="00562AEB">
            <w:pPr>
              <w:rPr>
                <w:lang w:val="fr-FR"/>
              </w:rPr>
            </w:pPr>
          </w:p>
        </w:tc>
        <w:tc>
          <w:tcPr>
            <w:tcW w:w="727" w:type="dxa"/>
            <w:tcBorders>
              <w:top w:val="single" w:sz="4" w:space="0" w:color="auto"/>
            </w:tcBorders>
            <w:shd w:val="clear" w:color="auto" w:fill="323E4F" w:themeFill="text2" w:themeFillShade="BF"/>
            <w:vAlign w:val="center"/>
          </w:tcPr>
          <w:p w14:paraId="4F8B3E39" w14:textId="77777777" w:rsidR="00413379" w:rsidRPr="000A5A97" w:rsidRDefault="00413379" w:rsidP="00562AEB">
            <w:pPr>
              <w:rPr>
                <w:lang w:val="fr-FR"/>
              </w:rPr>
            </w:pPr>
          </w:p>
        </w:tc>
        <w:tc>
          <w:tcPr>
            <w:tcW w:w="1506" w:type="dxa"/>
            <w:tcBorders>
              <w:top w:val="single" w:sz="4" w:space="0" w:color="auto"/>
            </w:tcBorders>
            <w:vAlign w:val="center"/>
          </w:tcPr>
          <w:p w14:paraId="2BDEEC1F" w14:textId="77777777" w:rsidR="00413379" w:rsidRPr="000A5A97" w:rsidRDefault="00413379" w:rsidP="00562AEB">
            <w:pPr>
              <w:rPr>
                <w:szCs w:val="22"/>
                <w:lang w:val="fr-FR"/>
              </w:rPr>
            </w:pPr>
          </w:p>
        </w:tc>
        <w:tc>
          <w:tcPr>
            <w:tcW w:w="1065" w:type="dxa"/>
            <w:tcBorders>
              <w:top w:val="single" w:sz="4" w:space="0" w:color="auto"/>
            </w:tcBorders>
            <w:vAlign w:val="center"/>
          </w:tcPr>
          <w:p w14:paraId="22152BD1" w14:textId="77777777" w:rsidR="00413379" w:rsidRPr="000A5A97" w:rsidRDefault="00413379" w:rsidP="00562AEB">
            <w:pPr>
              <w:rPr>
                <w:szCs w:val="22"/>
                <w:lang w:val="fr-FR"/>
              </w:rPr>
            </w:pPr>
          </w:p>
        </w:tc>
        <w:tc>
          <w:tcPr>
            <w:tcW w:w="1329" w:type="dxa"/>
            <w:gridSpan w:val="2"/>
            <w:tcBorders>
              <w:top w:val="single" w:sz="4" w:space="0" w:color="auto"/>
            </w:tcBorders>
            <w:vAlign w:val="center"/>
          </w:tcPr>
          <w:p w14:paraId="213EC080" w14:textId="77777777" w:rsidR="00413379" w:rsidRPr="000A5A97" w:rsidRDefault="00413379" w:rsidP="00562AEB">
            <w:pPr>
              <w:rPr>
                <w:szCs w:val="22"/>
                <w:lang w:val="fr-FR"/>
              </w:rPr>
            </w:pPr>
          </w:p>
        </w:tc>
        <w:tc>
          <w:tcPr>
            <w:tcW w:w="1273" w:type="dxa"/>
            <w:tcBorders>
              <w:top w:val="single" w:sz="4" w:space="0" w:color="auto"/>
            </w:tcBorders>
          </w:tcPr>
          <w:p w14:paraId="7F6BC497" w14:textId="77777777" w:rsidR="00413379" w:rsidRPr="000A5A97" w:rsidRDefault="00413379" w:rsidP="00562AEB">
            <w:pPr>
              <w:jc w:val="center"/>
              <w:rPr>
                <w:szCs w:val="22"/>
                <w:lang w:val="fr-FR"/>
              </w:rPr>
            </w:pPr>
            <w:r w:rsidRPr="000A5A97">
              <w:rPr>
                <w:szCs w:val="22"/>
                <w:lang w:val="fr-FR"/>
              </w:rPr>
              <w:t>10,080</w:t>
            </w:r>
          </w:p>
        </w:tc>
      </w:tr>
      <w:tr w:rsidR="00110EBE" w:rsidRPr="000A5A97" w14:paraId="2B927B16" w14:textId="77777777" w:rsidTr="00110EBE">
        <w:trPr>
          <w:cantSplit/>
          <w:trHeight w:val="90"/>
        </w:trPr>
        <w:tc>
          <w:tcPr>
            <w:tcW w:w="3562" w:type="dxa"/>
            <w:vMerge/>
          </w:tcPr>
          <w:p w14:paraId="168565A7" w14:textId="77777777" w:rsidR="00413379" w:rsidRPr="000A5A97" w:rsidRDefault="00413379" w:rsidP="00562AEB">
            <w:pPr>
              <w:rPr>
                <w:lang w:val="fr-FR"/>
              </w:rPr>
            </w:pPr>
          </w:p>
        </w:tc>
        <w:tc>
          <w:tcPr>
            <w:tcW w:w="3664" w:type="dxa"/>
            <w:tcBorders>
              <w:top w:val="single" w:sz="4" w:space="0" w:color="auto"/>
            </w:tcBorders>
            <w:vAlign w:val="center"/>
          </w:tcPr>
          <w:p w14:paraId="1699732A" w14:textId="77777777" w:rsidR="00413379" w:rsidRPr="000A5A97" w:rsidRDefault="00413379" w:rsidP="00413379">
            <w:pPr>
              <w:pStyle w:val="Paragraphedeliste"/>
              <w:numPr>
                <w:ilvl w:val="1"/>
                <w:numId w:val="20"/>
              </w:numPr>
              <w:spacing w:before="40"/>
              <w:jc w:val="both"/>
              <w:rPr>
                <w:iCs/>
                <w:sz w:val="16"/>
                <w:lang w:val="fr-FR"/>
              </w:rPr>
            </w:pPr>
            <w:r w:rsidRPr="000A5A97">
              <w:rPr>
                <w:iCs/>
                <w:sz w:val="16"/>
                <w:lang w:val="fr-FR"/>
              </w:rPr>
              <w:t>Organiser l’évènement de remise des chèques aux jeunes béninois retenus par TEF</w:t>
            </w:r>
          </w:p>
        </w:tc>
        <w:tc>
          <w:tcPr>
            <w:tcW w:w="726" w:type="dxa"/>
            <w:gridSpan w:val="2"/>
            <w:tcBorders>
              <w:top w:val="single" w:sz="4" w:space="0" w:color="auto"/>
            </w:tcBorders>
            <w:vAlign w:val="center"/>
          </w:tcPr>
          <w:p w14:paraId="17E3CE47" w14:textId="77777777" w:rsidR="00413379" w:rsidRPr="000A5A97" w:rsidRDefault="00413379" w:rsidP="00562AEB">
            <w:pPr>
              <w:rPr>
                <w:lang w:val="fr-FR"/>
              </w:rPr>
            </w:pPr>
          </w:p>
        </w:tc>
        <w:tc>
          <w:tcPr>
            <w:tcW w:w="727" w:type="dxa"/>
            <w:gridSpan w:val="2"/>
            <w:tcBorders>
              <w:top w:val="single" w:sz="4" w:space="0" w:color="auto"/>
            </w:tcBorders>
            <w:vAlign w:val="center"/>
          </w:tcPr>
          <w:p w14:paraId="196D403A" w14:textId="77777777" w:rsidR="00413379" w:rsidRPr="000A5A97" w:rsidRDefault="00413379" w:rsidP="00562AEB">
            <w:pPr>
              <w:rPr>
                <w:lang w:val="fr-FR"/>
              </w:rPr>
            </w:pPr>
          </w:p>
        </w:tc>
        <w:tc>
          <w:tcPr>
            <w:tcW w:w="726" w:type="dxa"/>
            <w:gridSpan w:val="2"/>
            <w:tcBorders>
              <w:top w:val="single" w:sz="4" w:space="0" w:color="auto"/>
            </w:tcBorders>
            <w:vAlign w:val="center"/>
          </w:tcPr>
          <w:p w14:paraId="0F45C106" w14:textId="77777777" w:rsidR="00413379" w:rsidRPr="000A5A97" w:rsidRDefault="00413379" w:rsidP="00562AEB">
            <w:pPr>
              <w:rPr>
                <w:lang w:val="fr-FR"/>
              </w:rPr>
            </w:pPr>
          </w:p>
        </w:tc>
        <w:tc>
          <w:tcPr>
            <w:tcW w:w="727" w:type="dxa"/>
            <w:tcBorders>
              <w:top w:val="single" w:sz="4" w:space="0" w:color="auto"/>
            </w:tcBorders>
            <w:shd w:val="clear" w:color="auto" w:fill="323E4F" w:themeFill="text2" w:themeFillShade="BF"/>
            <w:vAlign w:val="center"/>
          </w:tcPr>
          <w:p w14:paraId="020AAF64" w14:textId="77777777" w:rsidR="00413379" w:rsidRPr="000A5A97" w:rsidRDefault="00413379" w:rsidP="00562AEB">
            <w:pPr>
              <w:rPr>
                <w:lang w:val="fr-FR"/>
              </w:rPr>
            </w:pPr>
          </w:p>
        </w:tc>
        <w:tc>
          <w:tcPr>
            <w:tcW w:w="1506" w:type="dxa"/>
            <w:tcBorders>
              <w:top w:val="single" w:sz="4" w:space="0" w:color="auto"/>
            </w:tcBorders>
            <w:vAlign w:val="center"/>
          </w:tcPr>
          <w:p w14:paraId="6EF7493F" w14:textId="77777777" w:rsidR="00413379" w:rsidRPr="000A5A97" w:rsidRDefault="00413379" w:rsidP="00562AEB">
            <w:pPr>
              <w:rPr>
                <w:szCs w:val="22"/>
                <w:lang w:val="fr-FR"/>
              </w:rPr>
            </w:pPr>
          </w:p>
        </w:tc>
        <w:tc>
          <w:tcPr>
            <w:tcW w:w="1065" w:type="dxa"/>
            <w:tcBorders>
              <w:top w:val="single" w:sz="4" w:space="0" w:color="auto"/>
            </w:tcBorders>
            <w:vAlign w:val="center"/>
          </w:tcPr>
          <w:p w14:paraId="1FC1DF64" w14:textId="77777777" w:rsidR="00413379" w:rsidRPr="000A5A97" w:rsidRDefault="00413379" w:rsidP="00562AEB">
            <w:pPr>
              <w:rPr>
                <w:szCs w:val="22"/>
                <w:lang w:val="fr-FR"/>
              </w:rPr>
            </w:pPr>
          </w:p>
        </w:tc>
        <w:tc>
          <w:tcPr>
            <w:tcW w:w="1329" w:type="dxa"/>
            <w:gridSpan w:val="2"/>
            <w:tcBorders>
              <w:top w:val="single" w:sz="4" w:space="0" w:color="auto"/>
            </w:tcBorders>
            <w:vAlign w:val="center"/>
          </w:tcPr>
          <w:p w14:paraId="6BA3C04A" w14:textId="77777777" w:rsidR="00413379" w:rsidRPr="000A5A97" w:rsidRDefault="00413379" w:rsidP="00562AEB">
            <w:pPr>
              <w:rPr>
                <w:szCs w:val="22"/>
                <w:lang w:val="fr-FR"/>
              </w:rPr>
            </w:pPr>
          </w:p>
        </w:tc>
        <w:tc>
          <w:tcPr>
            <w:tcW w:w="1273" w:type="dxa"/>
            <w:tcBorders>
              <w:top w:val="single" w:sz="4" w:space="0" w:color="auto"/>
            </w:tcBorders>
          </w:tcPr>
          <w:p w14:paraId="0414C33C" w14:textId="77777777" w:rsidR="00413379" w:rsidRPr="000A5A97" w:rsidRDefault="00413379" w:rsidP="00562AEB">
            <w:pPr>
              <w:jc w:val="center"/>
              <w:rPr>
                <w:szCs w:val="22"/>
                <w:lang w:val="fr-FR"/>
              </w:rPr>
            </w:pPr>
            <w:r w:rsidRPr="000A5A97">
              <w:rPr>
                <w:szCs w:val="22"/>
                <w:lang w:val="fr-FR"/>
              </w:rPr>
              <w:t>44,920</w:t>
            </w:r>
          </w:p>
        </w:tc>
      </w:tr>
      <w:tr w:rsidR="00413379" w:rsidRPr="000A5A97" w14:paraId="54F5A8E7" w14:textId="77777777" w:rsidTr="00110EBE">
        <w:trPr>
          <w:cantSplit/>
          <w:trHeight w:val="340"/>
        </w:trPr>
        <w:tc>
          <w:tcPr>
            <w:tcW w:w="3562" w:type="dxa"/>
            <w:vMerge/>
          </w:tcPr>
          <w:p w14:paraId="2D88CDDD" w14:textId="77777777" w:rsidR="00413379" w:rsidRPr="000A5A97" w:rsidRDefault="00413379" w:rsidP="00562AEB">
            <w:pPr>
              <w:rPr>
                <w:lang w:val="fr-FR"/>
              </w:rPr>
            </w:pPr>
          </w:p>
        </w:tc>
        <w:tc>
          <w:tcPr>
            <w:tcW w:w="10470" w:type="dxa"/>
            <w:gridSpan w:val="12"/>
            <w:shd w:val="clear" w:color="auto" w:fill="F2F2F2"/>
            <w:vAlign w:val="center"/>
          </w:tcPr>
          <w:p w14:paraId="744E6D13" w14:textId="77777777" w:rsidR="00413379" w:rsidRPr="002318F7" w:rsidRDefault="00413379" w:rsidP="00562AEB">
            <w:pPr>
              <w:jc w:val="left"/>
              <w:rPr>
                <w:b/>
                <w:szCs w:val="22"/>
                <w:lang w:val="fr-FR"/>
              </w:rPr>
            </w:pPr>
            <w:r w:rsidRPr="002318F7">
              <w:rPr>
                <w:b/>
                <w:szCs w:val="22"/>
                <w:lang w:val="fr-FR"/>
              </w:rPr>
              <w:t>Total partiel pour le produit 2</w:t>
            </w:r>
          </w:p>
        </w:tc>
        <w:tc>
          <w:tcPr>
            <w:tcW w:w="1273" w:type="dxa"/>
            <w:shd w:val="clear" w:color="auto" w:fill="F2F2F2"/>
          </w:tcPr>
          <w:p w14:paraId="7FBB7147" w14:textId="77777777" w:rsidR="00413379" w:rsidRPr="002318F7" w:rsidRDefault="00413379" w:rsidP="00562AEB">
            <w:pPr>
              <w:rPr>
                <w:b/>
                <w:szCs w:val="22"/>
                <w:lang w:val="fr-FR"/>
              </w:rPr>
            </w:pPr>
            <w:r w:rsidRPr="002318F7">
              <w:rPr>
                <w:b/>
                <w:szCs w:val="22"/>
                <w:lang w:val="fr-FR"/>
              </w:rPr>
              <w:t>1,000,000</w:t>
            </w:r>
          </w:p>
        </w:tc>
      </w:tr>
      <w:tr w:rsidR="00413379" w:rsidRPr="000A5A97" w14:paraId="48E1E877" w14:textId="77777777" w:rsidTr="00110EBE">
        <w:trPr>
          <w:cantSplit/>
          <w:trHeight w:val="314"/>
        </w:trPr>
        <w:tc>
          <w:tcPr>
            <w:tcW w:w="3562" w:type="dxa"/>
            <w:shd w:val="clear" w:color="auto" w:fill="CCCCCC"/>
          </w:tcPr>
          <w:p w14:paraId="6F5D8659" w14:textId="77777777" w:rsidR="00413379" w:rsidRPr="000A5A97" w:rsidRDefault="00413379" w:rsidP="00562AEB">
            <w:pPr>
              <w:spacing w:before="60"/>
              <w:rPr>
                <w:b/>
                <w:lang w:val="fr-FR"/>
              </w:rPr>
            </w:pPr>
            <w:r w:rsidRPr="000A5A97">
              <w:rPr>
                <w:b/>
                <w:lang w:val="fr-FR"/>
              </w:rPr>
              <w:t>TOTAL</w:t>
            </w:r>
          </w:p>
        </w:tc>
        <w:tc>
          <w:tcPr>
            <w:tcW w:w="3664" w:type="dxa"/>
            <w:tcBorders>
              <w:right w:val="nil"/>
            </w:tcBorders>
            <w:shd w:val="thinDiagCross" w:color="auto" w:fill="CCCCCC"/>
          </w:tcPr>
          <w:p w14:paraId="71F7FBC4" w14:textId="77777777" w:rsidR="00413379" w:rsidRPr="000A5A97" w:rsidRDefault="00413379" w:rsidP="00562AEB">
            <w:pPr>
              <w:rPr>
                <w:lang w:val="fr-FR"/>
              </w:rPr>
            </w:pPr>
          </w:p>
        </w:tc>
        <w:tc>
          <w:tcPr>
            <w:tcW w:w="704" w:type="dxa"/>
            <w:tcBorders>
              <w:left w:val="nil"/>
              <w:right w:val="nil"/>
            </w:tcBorders>
            <w:shd w:val="thinDiagCross" w:color="auto" w:fill="CCCCCC"/>
          </w:tcPr>
          <w:p w14:paraId="51827CB9" w14:textId="77777777" w:rsidR="00413379" w:rsidRPr="000A5A97" w:rsidRDefault="00413379" w:rsidP="00562AEB">
            <w:pPr>
              <w:rPr>
                <w:lang w:val="fr-FR"/>
              </w:rPr>
            </w:pPr>
          </w:p>
        </w:tc>
        <w:tc>
          <w:tcPr>
            <w:tcW w:w="334" w:type="dxa"/>
            <w:gridSpan w:val="2"/>
            <w:tcBorders>
              <w:left w:val="nil"/>
              <w:right w:val="nil"/>
            </w:tcBorders>
            <w:shd w:val="thinDiagCross" w:color="auto" w:fill="CCCCCC"/>
          </w:tcPr>
          <w:p w14:paraId="15F79C0D" w14:textId="77777777" w:rsidR="00413379" w:rsidRPr="000A5A97" w:rsidRDefault="00413379" w:rsidP="00562AEB">
            <w:pPr>
              <w:rPr>
                <w:lang w:val="fr-FR"/>
              </w:rPr>
            </w:pPr>
          </w:p>
        </w:tc>
        <w:tc>
          <w:tcPr>
            <w:tcW w:w="885" w:type="dxa"/>
            <w:gridSpan w:val="2"/>
            <w:tcBorders>
              <w:left w:val="nil"/>
              <w:right w:val="nil"/>
            </w:tcBorders>
            <w:shd w:val="thinDiagCross" w:color="auto" w:fill="CCCCCC"/>
          </w:tcPr>
          <w:p w14:paraId="572A6634" w14:textId="77777777" w:rsidR="00413379" w:rsidRPr="000A5A97" w:rsidRDefault="00413379" w:rsidP="00562AEB">
            <w:pPr>
              <w:rPr>
                <w:lang w:val="fr-FR"/>
              </w:rPr>
            </w:pPr>
          </w:p>
        </w:tc>
        <w:tc>
          <w:tcPr>
            <w:tcW w:w="983" w:type="dxa"/>
            <w:gridSpan w:val="2"/>
            <w:tcBorders>
              <w:left w:val="nil"/>
              <w:right w:val="nil"/>
            </w:tcBorders>
            <w:shd w:val="thinDiagCross" w:color="auto" w:fill="CCCCCC"/>
          </w:tcPr>
          <w:p w14:paraId="109FBDAC" w14:textId="77777777" w:rsidR="00413379" w:rsidRPr="000A5A97" w:rsidRDefault="00413379" w:rsidP="00562AEB">
            <w:pPr>
              <w:rPr>
                <w:lang w:val="fr-FR"/>
              </w:rPr>
            </w:pPr>
          </w:p>
        </w:tc>
        <w:tc>
          <w:tcPr>
            <w:tcW w:w="1506" w:type="dxa"/>
            <w:tcBorders>
              <w:left w:val="nil"/>
              <w:right w:val="nil"/>
            </w:tcBorders>
            <w:shd w:val="thinDiagCross" w:color="auto" w:fill="CCCCCC"/>
          </w:tcPr>
          <w:p w14:paraId="5B3C2EB9" w14:textId="77777777" w:rsidR="00413379" w:rsidRPr="000A5A97" w:rsidRDefault="00413379" w:rsidP="00562AEB">
            <w:pPr>
              <w:rPr>
                <w:lang w:val="fr-FR"/>
              </w:rPr>
            </w:pPr>
          </w:p>
        </w:tc>
        <w:tc>
          <w:tcPr>
            <w:tcW w:w="1065" w:type="dxa"/>
            <w:tcBorders>
              <w:left w:val="nil"/>
            </w:tcBorders>
            <w:shd w:val="thinDiagCross" w:color="auto" w:fill="CCCCCC"/>
          </w:tcPr>
          <w:p w14:paraId="2ED954BC" w14:textId="77777777" w:rsidR="00413379" w:rsidRPr="000A5A97" w:rsidRDefault="00413379" w:rsidP="00562AEB">
            <w:pPr>
              <w:rPr>
                <w:lang w:val="fr-FR"/>
              </w:rPr>
            </w:pPr>
          </w:p>
        </w:tc>
        <w:tc>
          <w:tcPr>
            <w:tcW w:w="1329" w:type="dxa"/>
            <w:gridSpan w:val="2"/>
            <w:shd w:val="clear" w:color="auto" w:fill="CCCCCC"/>
          </w:tcPr>
          <w:p w14:paraId="62948EDB" w14:textId="77777777" w:rsidR="00413379" w:rsidRPr="000A5A97" w:rsidRDefault="00413379" w:rsidP="00562AEB">
            <w:pPr>
              <w:rPr>
                <w:lang w:val="fr-FR"/>
              </w:rPr>
            </w:pPr>
          </w:p>
        </w:tc>
        <w:tc>
          <w:tcPr>
            <w:tcW w:w="1273" w:type="dxa"/>
            <w:shd w:val="clear" w:color="auto" w:fill="CCCCCC"/>
          </w:tcPr>
          <w:p w14:paraId="78394A3C" w14:textId="47E15B2D" w:rsidR="00413379" w:rsidRPr="000A5A97" w:rsidRDefault="00413379" w:rsidP="00562AEB">
            <w:pPr>
              <w:rPr>
                <w:lang w:val="fr-FR"/>
              </w:rPr>
            </w:pPr>
          </w:p>
        </w:tc>
      </w:tr>
    </w:tbl>
    <w:p w14:paraId="2F47F75E" w14:textId="11EDEADE" w:rsidR="006703D0" w:rsidRPr="000A5A97" w:rsidRDefault="006703D0" w:rsidP="00CB39AD">
      <w:pPr>
        <w:spacing w:line="276" w:lineRule="auto"/>
        <w:rPr>
          <w:rFonts w:ascii="Times New Roman" w:hAnsi="Times New Roman"/>
          <w:sz w:val="21"/>
          <w:szCs w:val="21"/>
          <w:lang w:val="fr-FR"/>
        </w:rPr>
      </w:pPr>
    </w:p>
    <w:sectPr w:rsidR="006703D0" w:rsidRPr="000A5A97" w:rsidSect="00D109C4">
      <w:headerReference w:type="first" r:id="rId19"/>
      <w:pgSz w:w="16838" w:h="11906" w:orient="landscape" w:code="9"/>
      <w:pgMar w:top="1152" w:right="864" w:bottom="1152" w:left="864" w:header="720" w:footer="43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5F521C" w14:textId="77777777" w:rsidR="00C7036D" w:rsidRDefault="00C7036D">
      <w:r>
        <w:separator/>
      </w:r>
    </w:p>
  </w:endnote>
  <w:endnote w:type="continuationSeparator" w:id="0">
    <w:p w14:paraId="59540F2D" w14:textId="77777777" w:rsidR="00C7036D" w:rsidRDefault="00C703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ourier">
    <w:panose1 w:val="02070409020205020404"/>
    <w:charset w:val="00"/>
    <w:family w:val="auto"/>
    <w:pitch w:val="variable"/>
    <w:sig w:usb0="00000003"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FAE9AA" w14:textId="77777777" w:rsidR="00946F92" w:rsidRDefault="00946F92" w:rsidP="00F358EA">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14:paraId="6DE2CAF7" w14:textId="77777777" w:rsidR="00946F92" w:rsidRDefault="00946F92">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37CAAA" w14:textId="116A1CB5" w:rsidR="00946F92" w:rsidRDefault="00946F92" w:rsidP="00453D4C">
    <w:pPr>
      <w:pStyle w:val="Pieddepage"/>
      <w:jc w:val="center"/>
    </w:pPr>
    <w:r>
      <w:rPr>
        <w:rStyle w:val="Numrodepage"/>
      </w:rPr>
      <w:fldChar w:fldCharType="begin"/>
    </w:r>
    <w:r>
      <w:rPr>
        <w:rStyle w:val="Numrodepage"/>
      </w:rPr>
      <w:instrText xml:space="preserve"> PAGE </w:instrText>
    </w:r>
    <w:r>
      <w:rPr>
        <w:rStyle w:val="Numrodepage"/>
      </w:rPr>
      <w:fldChar w:fldCharType="separate"/>
    </w:r>
    <w:r>
      <w:rPr>
        <w:rStyle w:val="Numrodepage"/>
        <w:noProof/>
      </w:rPr>
      <w:t>2</w:t>
    </w:r>
    <w:r>
      <w:rPr>
        <w:rStyle w:val="Numrodepag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17F3B6" w14:textId="77777777" w:rsidR="00C7036D" w:rsidRDefault="00C7036D">
      <w:r>
        <w:separator/>
      </w:r>
    </w:p>
  </w:footnote>
  <w:footnote w:type="continuationSeparator" w:id="0">
    <w:p w14:paraId="3E74239C" w14:textId="77777777" w:rsidR="00C7036D" w:rsidRDefault="00C703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7942DB" w14:textId="77777777" w:rsidR="00946F92" w:rsidRPr="00453D4C" w:rsidRDefault="00946F92" w:rsidP="00453D4C">
    <w:pPr>
      <w:pStyle w:val="En-tte"/>
      <w:tabs>
        <w:tab w:val="clear" w:pos="8306"/>
        <w:tab w:val="right" w:pos="9540"/>
      </w:tabs>
      <w:rPr>
        <w:sz w:val="18"/>
        <w:szCs w:val="18"/>
      </w:rPr>
    </w:pPr>
    <w:r w:rsidRPr="00453D4C">
      <w:rPr>
        <w:rFonts w:ascii="Arial Narrow" w:hAnsi="Arial Narrow"/>
        <w:b/>
        <w:bCs/>
        <w:sz w:val="18"/>
        <w:szCs w:val="1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ECE4C9" w14:textId="76125EF8" w:rsidR="00946F92" w:rsidRPr="00302288" w:rsidRDefault="00946F92">
    <w:pPr>
      <w:pStyle w:val="En-tte"/>
      <w:rPr>
        <w:b/>
        <w:szCs w:val="22"/>
      </w:rPr>
    </w:pPr>
    <w:r w:rsidRPr="00302288">
      <w:rPr>
        <w:b/>
        <w:szCs w:val="22"/>
      </w:rPr>
      <w:t>United Nations Development Programme</w:t>
    </w:r>
    <w:r>
      <w:rPr>
        <w:noProof/>
        <w:lang w:val="en-US"/>
      </w:rPr>
      <w:drawing>
        <wp:anchor distT="0" distB="0" distL="114300" distR="114300" simplePos="0" relativeHeight="251657728" behindDoc="1" locked="0" layoutInCell="1" allowOverlap="1" wp14:anchorId="15F14DE2" wp14:editId="29E94BEC">
          <wp:simplePos x="0" y="0"/>
          <wp:positionH relativeFrom="column">
            <wp:align>right</wp:align>
          </wp:positionH>
          <wp:positionV relativeFrom="paragraph">
            <wp:posOffset>73025</wp:posOffset>
          </wp:positionV>
          <wp:extent cx="533400" cy="1085850"/>
          <wp:effectExtent l="0" t="0" r="0" b="6350"/>
          <wp:wrapNone/>
          <wp:docPr id="8" name="Picture 8" descr="undp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undp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3400" cy="10858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0119CD4" w14:textId="77777777" w:rsidR="00946F92" w:rsidRDefault="00946F92">
    <w:pPr>
      <w:pStyle w:val="En-tte"/>
    </w:pPr>
  </w:p>
  <w:p w14:paraId="1EBA587E" w14:textId="77777777" w:rsidR="00946F92" w:rsidRDefault="00946F92">
    <w:pPr>
      <w:pStyle w:val="En-tte"/>
    </w:pPr>
  </w:p>
  <w:p w14:paraId="6DE1ADB1" w14:textId="77777777" w:rsidR="00946F92" w:rsidRDefault="00946F92">
    <w:pPr>
      <w:pStyle w:val="En-tte"/>
    </w:pPr>
  </w:p>
  <w:p w14:paraId="05D149ED" w14:textId="77777777" w:rsidR="00946F92" w:rsidRDefault="00946F92">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C58585" w14:textId="77777777" w:rsidR="00946F92" w:rsidRDefault="00946F92">
    <w:pPr>
      <w:pStyle w:val="En-tte"/>
      <w:rPr>
        <w:b/>
        <w:szCs w:val="22"/>
      </w:rPr>
    </w:pPr>
  </w:p>
  <w:p w14:paraId="01A0109E" w14:textId="77777777" w:rsidR="00946F92" w:rsidRPr="00DB520F" w:rsidRDefault="00946F92">
    <w:pPr>
      <w:pStyle w:val="En-tte"/>
      <w:rPr>
        <w:b/>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abstractNum w:abstractNumId="0" w15:restartNumberingAfterBreak="0">
    <w:nsid w:val="FFFFFF1D"/>
    <w:multiLevelType w:val="multilevel"/>
    <w:tmpl w:val="D618CFB6"/>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3D412B"/>
    <w:multiLevelType w:val="multilevel"/>
    <w:tmpl w:val="B1B29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B66BB"/>
    <w:multiLevelType w:val="hybridMultilevel"/>
    <w:tmpl w:val="4442222A"/>
    <w:lvl w:ilvl="0" w:tplc="4AFE457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1844D1"/>
    <w:multiLevelType w:val="multilevel"/>
    <w:tmpl w:val="7E6206F0"/>
    <w:lvl w:ilvl="0">
      <w:start w:val="1"/>
      <w:numFmt w:val="upperRoman"/>
      <w:lvlText w:val="%1."/>
      <w:lvlJc w:val="right"/>
      <w:pPr>
        <w:tabs>
          <w:tab w:val="num" w:pos="720"/>
        </w:tabs>
        <w:ind w:left="720" w:hanging="18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170D7B4F"/>
    <w:multiLevelType w:val="hybridMultilevel"/>
    <w:tmpl w:val="910E63C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C3317AB"/>
    <w:multiLevelType w:val="hybridMultilevel"/>
    <w:tmpl w:val="E9261078"/>
    <w:lvl w:ilvl="0" w:tplc="A70CFEFE">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0F576F2"/>
    <w:multiLevelType w:val="hybridMultilevel"/>
    <w:tmpl w:val="FDCE8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396AE0"/>
    <w:multiLevelType w:val="hybridMultilevel"/>
    <w:tmpl w:val="A17E0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9F77914"/>
    <w:multiLevelType w:val="hybridMultilevel"/>
    <w:tmpl w:val="AC9C685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51E502B"/>
    <w:multiLevelType w:val="multilevel"/>
    <w:tmpl w:val="ADE006B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474854A3"/>
    <w:multiLevelType w:val="hybridMultilevel"/>
    <w:tmpl w:val="51385554"/>
    <w:lvl w:ilvl="0" w:tplc="740EC266">
      <w:start w:val="1"/>
      <w:numFmt w:val="upperRoman"/>
      <w:pStyle w:val="Titre1"/>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9226923"/>
    <w:multiLevelType w:val="hybridMultilevel"/>
    <w:tmpl w:val="AE30FADC"/>
    <w:lvl w:ilvl="0" w:tplc="04090017">
      <w:start w:val="1"/>
      <w:numFmt w:val="lowerLetter"/>
      <w:lvlText w:val="%1)"/>
      <w:lvlJc w:val="left"/>
      <w:pPr>
        <w:tabs>
          <w:tab w:val="num" w:pos="360"/>
        </w:tabs>
        <w:ind w:left="360" w:hanging="360"/>
      </w:pPr>
      <w:rPr>
        <w:rFonts w:hint="default"/>
      </w:rPr>
    </w:lvl>
    <w:lvl w:ilvl="1" w:tplc="2BBC3FE8">
      <w:start w:val="1"/>
      <w:numFmt w:val="lowerLetter"/>
      <w:lvlText w:val="(%2)"/>
      <w:lvlJc w:val="left"/>
      <w:pPr>
        <w:tabs>
          <w:tab w:val="num" w:pos="1080"/>
        </w:tabs>
        <w:ind w:left="1080" w:hanging="360"/>
      </w:pPr>
      <w:rPr>
        <w:rFonts w:hint="default"/>
      </w:rPr>
    </w:lvl>
    <w:lvl w:ilvl="2" w:tplc="1E0C00B2">
      <w:start w:val="7"/>
      <w:numFmt w:val="decimal"/>
      <w:lvlText w:val="%3."/>
      <w:lvlJc w:val="left"/>
      <w:pPr>
        <w:tabs>
          <w:tab w:val="num" w:pos="1980"/>
        </w:tabs>
        <w:ind w:left="1980" w:hanging="36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4EF41D65"/>
    <w:multiLevelType w:val="hybridMultilevel"/>
    <w:tmpl w:val="5162817E"/>
    <w:lvl w:ilvl="0" w:tplc="04090001">
      <w:start w:val="1"/>
      <w:numFmt w:val="bullet"/>
      <w:lvlText w:val=""/>
      <w:lvlJc w:val="left"/>
      <w:pPr>
        <w:ind w:left="720" w:hanging="360"/>
      </w:pPr>
      <w:rPr>
        <w:rFonts w:ascii="Symbol" w:hAnsi="Symbol" w:hint="default"/>
      </w:rPr>
    </w:lvl>
    <w:lvl w:ilvl="1" w:tplc="A202CA66">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DDD2C5D"/>
    <w:multiLevelType w:val="hybridMultilevel"/>
    <w:tmpl w:val="569E8708"/>
    <w:lvl w:ilvl="0" w:tplc="944EE276">
      <w:start w:val="1"/>
      <w:numFmt w:val="bullet"/>
      <w:lvlText w:val=""/>
      <w:lvlJc w:val="left"/>
      <w:pPr>
        <w:tabs>
          <w:tab w:val="num" w:pos="1080"/>
        </w:tabs>
        <w:ind w:left="1080" w:hanging="360"/>
      </w:pPr>
      <w:rPr>
        <w:rFonts w:ascii="Symbol" w:hAnsi="Symbol" w:hint="default"/>
        <w:sz w:val="18"/>
      </w:rPr>
    </w:lvl>
    <w:lvl w:ilvl="1" w:tplc="04090003">
      <w:start w:val="1"/>
      <w:numFmt w:val="bullet"/>
      <w:lvlText w:val="o"/>
      <w:lvlJc w:val="left"/>
      <w:pPr>
        <w:tabs>
          <w:tab w:val="num" w:pos="2160"/>
        </w:tabs>
        <w:ind w:left="2160" w:hanging="360"/>
      </w:pPr>
      <w:rPr>
        <w:rFonts w:ascii="Courier New" w:hAnsi="Courier New" w:cs="Courier New" w:hint="default"/>
        <w:sz w:val="18"/>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5E8F70FE"/>
    <w:multiLevelType w:val="hybridMultilevel"/>
    <w:tmpl w:val="40CEA4B8"/>
    <w:lvl w:ilvl="0" w:tplc="3EAE25F4">
      <w:start w:val="1"/>
      <w:numFmt w:val="bullet"/>
      <w:lvlText w:val=""/>
      <w:lvlJc w:val="left"/>
      <w:pPr>
        <w:tabs>
          <w:tab w:val="num" w:pos="36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62F6DD2"/>
    <w:multiLevelType w:val="hybridMultilevel"/>
    <w:tmpl w:val="B9C8BB74"/>
    <w:lvl w:ilvl="0" w:tplc="C9DA646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AAB78B4"/>
    <w:multiLevelType w:val="multilevel"/>
    <w:tmpl w:val="A86CE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C5F5781"/>
    <w:multiLevelType w:val="hybridMultilevel"/>
    <w:tmpl w:val="95AA1DA4"/>
    <w:lvl w:ilvl="0" w:tplc="04090001">
      <w:start w:val="1"/>
      <w:numFmt w:val="bullet"/>
      <w:lvlText w:val=""/>
      <w:lvlJc w:val="left"/>
      <w:pPr>
        <w:tabs>
          <w:tab w:val="num" w:pos="480"/>
        </w:tabs>
        <w:ind w:left="480" w:hanging="360"/>
      </w:pPr>
      <w:rPr>
        <w:rFonts w:ascii="Symbol" w:hAnsi="Symbol" w:hint="default"/>
      </w:rPr>
    </w:lvl>
    <w:lvl w:ilvl="1" w:tplc="04090003">
      <w:start w:val="1"/>
      <w:numFmt w:val="bullet"/>
      <w:lvlText w:val="o"/>
      <w:lvlJc w:val="left"/>
      <w:pPr>
        <w:tabs>
          <w:tab w:val="num" w:pos="1200"/>
        </w:tabs>
        <w:ind w:left="1200" w:hanging="360"/>
      </w:pPr>
      <w:rPr>
        <w:rFonts w:ascii="Courier New" w:hAnsi="Courier New" w:cs="Courier New" w:hint="default"/>
      </w:rPr>
    </w:lvl>
    <w:lvl w:ilvl="2" w:tplc="04090005" w:tentative="1">
      <w:start w:val="1"/>
      <w:numFmt w:val="bullet"/>
      <w:lvlText w:val=""/>
      <w:lvlJc w:val="left"/>
      <w:pPr>
        <w:tabs>
          <w:tab w:val="num" w:pos="1920"/>
        </w:tabs>
        <w:ind w:left="1920" w:hanging="360"/>
      </w:pPr>
      <w:rPr>
        <w:rFonts w:ascii="Wingdings" w:hAnsi="Wingdings" w:hint="default"/>
      </w:rPr>
    </w:lvl>
    <w:lvl w:ilvl="3" w:tplc="04090001" w:tentative="1">
      <w:start w:val="1"/>
      <w:numFmt w:val="bullet"/>
      <w:lvlText w:val=""/>
      <w:lvlJc w:val="left"/>
      <w:pPr>
        <w:tabs>
          <w:tab w:val="num" w:pos="2640"/>
        </w:tabs>
        <w:ind w:left="2640" w:hanging="360"/>
      </w:pPr>
      <w:rPr>
        <w:rFonts w:ascii="Symbol" w:hAnsi="Symbol" w:hint="default"/>
      </w:rPr>
    </w:lvl>
    <w:lvl w:ilvl="4" w:tplc="04090003" w:tentative="1">
      <w:start w:val="1"/>
      <w:numFmt w:val="bullet"/>
      <w:lvlText w:val="o"/>
      <w:lvlJc w:val="left"/>
      <w:pPr>
        <w:tabs>
          <w:tab w:val="num" w:pos="3360"/>
        </w:tabs>
        <w:ind w:left="3360" w:hanging="360"/>
      </w:pPr>
      <w:rPr>
        <w:rFonts w:ascii="Courier New" w:hAnsi="Courier New" w:cs="Courier New" w:hint="default"/>
      </w:rPr>
    </w:lvl>
    <w:lvl w:ilvl="5" w:tplc="04090005" w:tentative="1">
      <w:start w:val="1"/>
      <w:numFmt w:val="bullet"/>
      <w:lvlText w:val=""/>
      <w:lvlJc w:val="left"/>
      <w:pPr>
        <w:tabs>
          <w:tab w:val="num" w:pos="4080"/>
        </w:tabs>
        <w:ind w:left="4080" w:hanging="360"/>
      </w:pPr>
      <w:rPr>
        <w:rFonts w:ascii="Wingdings" w:hAnsi="Wingdings" w:hint="default"/>
      </w:rPr>
    </w:lvl>
    <w:lvl w:ilvl="6" w:tplc="04090001" w:tentative="1">
      <w:start w:val="1"/>
      <w:numFmt w:val="bullet"/>
      <w:lvlText w:val=""/>
      <w:lvlJc w:val="left"/>
      <w:pPr>
        <w:tabs>
          <w:tab w:val="num" w:pos="4800"/>
        </w:tabs>
        <w:ind w:left="4800" w:hanging="360"/>
      </w:pPr>
      <w:rPr>
        <w:rFonts w:ascii="Symbol" w:hAnsi="Symbol" w:hint="default"/>
      </w:rPr>
    </w:lvl>
    <w:lvl w:ilvl="7" w:tplc="04090003" w:tentative="1">
      <w:start w:val="1"/>
      <w:numFmt w:val="bullet"/>
      <w:lvlText w:val="o"/>
      <w:lvlJc w:val="left"/>
      <w:pPr>
        <w:tabs>
          <w:tab w:val="num" w:pos="5520"/>
        </w:tabs>
        <w:ind w:left="5520" w:hanging="360"/>
      </w:pPr>
      <w:rPr>
        <w:rFonts w:ascii="Courier New" w:hAnsi="Courier New" w:cs="Courier New" w:hint="default"/>
      </w:rPr>
    </w:lvl>
    <w:lvl w:ilvl="8" w:tplc="04090005" w:tentative="1">
      <w:start w:val="1"/>
      <w:numFmt w:val="bullet"/>
      <w:lvlText w:val=""/>
      <w:lvlJc w:val="left"/>
      <w:pPr>
        <w:tabs>
          <w:tab w:val="num" w:pos="6240"/>
        </w:tabs>
        <w:ind w:left="6240" w:hanging="360"/>
      </w:pPr>
      <w:rPr>
        <w:rFonts w:ascii="Wingdings" w:hAnsi="Wingdings" w:hint="default"/>
      </w:rPr>
    </w:lvl>
  </w:abstractNum>
  <w:abstractNum w:abstractNumId="18" w15:restartNumberingAfterBreak="0">
    <w:nsid w:val="70471826"/>
    <w:multiLevelType w:val="multilevel"/>
    <w:tmpl w:val="6478ADC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75022E4D"/>
    <w:multiLevelType w:val="hybridMultilevel"/>
    <w:tmpl w:val="1DA6E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CD97236"/>
    <w:multiLevelType w:val="hybridMultilevel"/>
    <w:tmpl w:val="675481BA"/>
    <w:lvl w:ilvl="0" w:tplc="276CAC3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3"/>
  </w:num>
  <w:num w:numId="3">
    <w:abstractNumId w:val="16"/>
  </w:num>
  <w:num w:numId="4">
    <w:abstractNumId w:val="14"/>
  </w:num>
  <w:num w:numId="5">
    <w:abstractNumId w:val="17"/>
  </w:num>
  <w:num w:numId="6">
    <w:abstractNumId w:val="11"/>
  </w:num>
  <w:num w:numId="7">
    <w:abstractNumId w:val="10"/>
  </w:num>
  <w:num w:numId="8">
    <w:abstractNumId w:val="3"/>
  </w:num>
  <w:num w:numId="9">
    <w:abstractNumId w:val="8"/>
  </w:num>
  <w:num w:numId="10">
    <w:abstractNumId w:val="0"/>
  </w:num>
  <w:num w:numId="11">
    <w:abstractNumId w:val="19"/>
  </w:num>
  <w:num w:numId="12">
    <w:abstractNumId w:val="7"/>
  </w:num>
  <w:num w:numId="13">
    <w:abstractNumId w:val="6"/>
  </w:num>
  <w:num w:numId="14">
    <w:abstractNumId w:val="2"/>
  </w:num>
  <w:num w:numId="15">
    <w:abstractNumId w:val="20"/>
  </w:num>
  <w:num w:numId="16">
    <w:abstractNumId w:val="15"/>
  </w:num>
  <w:num w:numId="17">
    <w:abstractNumId w:val="12"/>
  </w:num>
  <w:num w:numId="18">
    <w:abstractNumId w:val="5"/>
  </w:num>
  <w:num w:numId="19">
    <w:abstractNumId w:val="9"/>
  </w:num>
  <w:num w:numId="20">
    <w:abstractNumId w:val="18"/>
  </w:num>
  <w:num w:numId="21">
    <w:abstractNumId w:val="1"/>
  </w:num>
  <w:num w:numId="22">
    <w:abstractNumId w:val="10"/>
  </w:num>
  <w:num w:numId="23">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3073"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1FF7"/>
    <w:rsid w:val="000130B5"/>
    <w:rsid w:val="0001513D"/>
    <w:rsid w:val="00017D2A"/>
    <w:rsid w:val="00031E16"/>
    <w:rsid w:val="00032001"/>
    <w:rsid w:val="00041651"/>
    <w:rsid w:val="00044654"/>
    <w:rsid w:val="00044655"/>
    <w:rsid w:val="00050EC4"/>
    <w:rsid w:val="00052C8D"/>
    <w:rsid w:val="00055972"/>
    <w:rsid w:val="00056DC9"/>
    <w:rsid w:val="00064599"/>
    <w:rsid w:val="00070C01"/>
    <w:rsid w:val="00073A3E"/>
    <w:rsid w:val="000748FE"/>
    <w:rsid w:val="00076B41"/>
    <w:rsid w:val="00077787"/>
    <w:rsid w:val="0008309A"/>
    <w:rsid w:val="000860F4"/>
    <w:rsid w:val="000911B6"/>
    <w:rsid w:val="000A0830"/>
    <w:rsid w:val="000A20E6"/>
    <w:rsid w:val="000A5A97"/>
    <w:rsid w:val="000A60FE"/>
    <w:rsid w:val="000A74F4"/>
    <w:rsid w:val="000B302D"/>
    <w:rsid w:val="000C0230"/>
    <w:rsid w:val="000C4DDD"/>
    <w:rsid w:val="000D7819"/>
    <w:rsid w:val="000E506E"/>
    <w:rsid w:val="000F3031"/>
    <w:rsid w:val="00105DB1"/>
    <w:rsid w:val="00106E93"/>
    <w:rsid w:val="00110EBE"/>
    <w:rsid w:val="00115EED"/>
    <w:rsid w:val="00131223"/>
    <w:rsid w:val="00137D23"/>
    <w:rsid w:val="00143F97"/>
    <w:rsid w:val="00146350"/>
    <w:rsid w:val="00157997"/>
    <w:rsid w:val="00167101"/>
    <w:rsid w:val="00167B4F"/>
    <w:rsid w:val="00170C38"/>
    <w:rsid w:val="0017725C"/>
    <w:rsid w:val="00186EA5"/>
    <w:rsid w:val="00194BA9"/>
    <w:rsid w:val="001A055F"/>
    <w:rsid w:val="001A1150"/>
    <w:rsid w:val="001B14E4"/>
    <w:rsid w:val="001B7215"/>
    <w:rsid w:val="001C5460"/>
    <w:rsid w:val="001D0B24"/>
    <w:rsid w:val="001D0F8F"/>
    <w:rsid w:val="001E4A6D"/>
    <w:rsid w:val="001E7659"/>
    <w:rsid w:val="001F51F2"/>
    <w:rsid w:val="00204E38"/>
    <w:rsid w:val="00206E96"/>
    <w:rsid w:val="00214D23"/>
    <w:rsid w:val="00215F64"/>
    <w:rsid w:val="00216441"/>
    <w:rsid w:val="00221CCB"/>
    <w:rsid w:val="0022328E"/>
    <w:rsid w:val="00224360"/>
    <w:rsid w:val="00226D1B"/>
    <w:rsid w:val="002318F7"/>
    <w:rsid w:val="00233370"/>
    <w:rsid w:val="00237C25"/>
    <w:rsid w:val="00243E16"/>
    <w:rsid w:val="00246366"/>
    <w:rsid w:val="00246539"/>
    <w:rsid w:val="00254F75"/>
    <w:rsid w:val="00273971"/>
    <w:rsid w:val="00274AD6"/>
    <w:rsid w:val="00296831"/>
    <w:rsid w:val="002A6344"/>
    <w:rsid w:val="002A7441"/>
    <w:rsid w:val="002B2AC3"/>
    <w:rsid w:val="002C133E"/>
    <w:rsid w:val="002C3DB0"/>
    <w:rsid w:val="002C482B"/>
    <w:rsid w:val="002C4D19"/>
    <w:rsid w:val="002D17F8"/>
    <w:rsid w:val="002D49DD"/>
    <w:rsid w:val="002D7ADF"/>
    <w:rsid w:val="002E2BC8"/>
    <w:rsid w:val="002E76E6"/>
    <w:rsid w:val="00302288"/>
    <w:rsid w:val="0030798F"/>
    <w:rsid w:val="00314B45"/>
    <w:rsid w:val="00321457"/>
    <w:rsid w:val="00323613"/>
    <w:rsid w:val="00323997"/>
    <w:rsid w:val="003315F6"/>
    <w:rsid w:val="00335154"/>
    <w:rsid w:val="003714D3"/>
    <w:rsid w:val="00372691"/>
    <w:rsid w:val="003747AD"/>
    <w:rsid w:val="00385454"/>
    <w:rsid w:val="0038549D"/>
    <w:rsid w:val="00386971"/>
    <w:rsid w:val="00394C21"/>
    <w:rsid w:val="00396601"/>
    <w:rsid w:val="00396EB2"/>
    <w:rsid w:val="003A0064"/>
    <w:rsid w:val="003A5733"/>
    <w:rsid w:val="003A63D7"/>
    <w:rsid w:val="003B3A33"/>
    <w:rsid w:val="003B5B70"/>
    <w:rsid w:val="003B5E62"/>
    <w:rsid w:val="003B6190"/>
    <w:rsid w:val="003D1226"/>
    <w:rsid w:val="003D5F6B"/>
    <w:rsid w:val="003E6852"/>
    <w:rsid w:val="003F2425"/>
    <w:rsid w:val="003F3320"/>
    <w:rsid w:val="003F77BC"/>
    <w:rsid w:val="00401F58"/>
    <w:rsid w:val="0040232E"/>
    <w:rsid w:val="0040296C"/>
    <w:rsid w:val="004068EB"/>
    <w:rsid w:val="00412B50"/>
    <w:rsid w:val="00413379"/>
    <w:rsid w:val="004274A1"/>
    <w:rsid w:val="0043121A"/>
    <w:rsid w:val="00431394"/>
    <w:rsid w:val="00432A1B"/>
    <w:rsid w:val="00434671"/>
    <w:rsid w:val="00445633"/>
    <w:rsid w:val="004501B9"/>
    <w:rsid w:val="00453D4C"/>
    <w:rsid w:val="00473590"/>
    <w:rsid w:val="00482984"/>
    <w:rsid w:val="0049415E"/>
    <w:rsid w:val="004A3DD3"/>
    <w:rsid w:val="004A49F4"/>
    <w:rsid w:val="004B003B"/>
    <w:rsid w:val="004B005F"/>
    <w:rsid w:val="004B1A75"/>
    <w:rsid w:val="004B4478"/>
    <w:rsid w:val="004C3FFB"/>
    <w:rsid w:val="004C427B"/>
    <w:rsid w:val="004D0048"/>
    <w:rsid w:val="004D16E4"/>
    <w:rsid w:val="004D2228"/>
    <w:rsid w:val="004F2706"/>
    <w:rsid w:val="004F2A0D"/>
    <w:rsid w:val="00501BB1"/>
    <w:rsid w:val="00504E98"/>
    <w:rsid w:val="005106F3"/>
    <w:rsid w:val="00512932"/>
    <w:rsid w:val="00521FA0"/>
    <w:rsid w:val="005279BA"/>
    <w:rsid w:val="00532A11"/>
    <w:rsid w:val="005352CD"/>
    <w:rsid w:val="005437BF"/>
    <w:rsid w:val="00553C0A"/>
    <w:rsid w:val="00560266"/>
    <w:rsid w:val="005616E3"/>
    <w:rsid w:val="00564073"/>
    <w:rsid w:val="00567D3E"/>
    <w:rsid w:val="005722AF"/>
    <w:rsid w:val="00573FB1"/>
    <w:rsid w:val="00583371"/>
    <w:rsid w:val="005859CD"/>
    <w:rsid w:val="00586716"/>
    <w:rsid w:val="00591C90"/>
    <w:rsid w:val="00594516"/>
    <w:rsid w:val="005A1DFE"/>
    <w:rsid w:val="005A7714"/>
    <w:rsid w:val="005C44F6"/>
    <w:rsid w:val="005D41BB"/>
    <w:rsid w:val="005E00AB"/>
    <w:rsid w:val="005F15D6"/>
    <w:rsid w:val="005F41A2"/>
    <w:rsid w:val="00603A45"/>
    <w:rsid w:val="00611849"/>
    <w:rsid w:val="006128B7"/>
    <w:rsid w:val="00615FEA"/>
    <w:rsid w:val="00626B6E"/>
    <w:rsid w:val="00634C6E"/>
    <w:rsid w:val="00636A09"/>
    <w:rsid w:val="00640107"/>
    <w:rsid w:val="006428D0"/>
    <w:rsid w:val="00647DEE"/>
    <w:rsid w:val="00651B6C"/>
    <w:rsid w:val="006615C8"/>
    <w:rsid w:val="00661CA7"/>
    <w:rsid w:val="00662C32"/>
    <w:rsid w:val="00665FAC"/>
    <w:rsid w:val="006703D0"/>
    <w:rsid w:val="00670BC3"/>
    <w:rsid w:val="00675396"/>
    <w:rsid w:val="00675422"/>
    <w:rsid w:val="006804CB"/>
    <w:rsid w:val="00681937"/>
    <w:rsid w:val="006A05E3"/>
    <w:rsid w:val="006A14D2"/>
    <w:rsid w:val="006B64C8"/>
    <w:rsid w:val="006C2A53"/>
    <w:rsid w:val="006C3698"/>
    <w:rsid w:val="006D2C73"/>
    <w:rsid w:val="006E00B9"/>
    <w:rsid w:val="006E3197"/>
    <w:rsid w:val="006E3A2C"/>
    <w:rsid w:val="006E3A45"/>
    <w:rsid w:val="006E3F4E"/>
    <w:rsid w:val="006E4081"/>
    <w:rsid w:val="006E4D0E"/>
    <w:rsid w:val="006F0A90"/>
    <w:rsid w:val="006F2142"/>
    <w:rsid w:val="006F3B9B"/>
    <w:rsid w:val="006F47AD"/>
    <w:rsid w:val="006F5BB9"/>
    <w:rsid w:val="0070072E"/>
    <w:rsid w:val="00713FB1"/>
    <w:rsid w:val="00714FD8"/>
    <w:rsid w:val="00715886"/>
    <w:rsid w:val="00715EDA"/>
    <w:rsid w:val="00725691"/>
    <w:rsid w:val="0072589F"/>
    <w:rsid w:val="0072638F"/>
    <w:rsid w:val="00730C6E"/>
    <w:rsid w:val="00746D2C"/>
    <w:rsid w:val="00751FF7"/>
    <w:rsid w:val="00760587"/>
    <w:rsid w:val="007622B3"/>
    <w:rsid w:val="007652A0"/>
    <w:rsid w:val="00770DC8"/>
    <w:rsid w:val="00771732"/>
    <w:rsid w:val="0077331E"/>
    <w:rsid w:val="00786926"/>
    <w:rsid w:val="007877D6"/>
    <w:rsid w:val="007878A9"/>
    <w:rsid w:val="007938D0"/>
    <w:rsid w:val="007A01ED"/>
    <w:rsid w:val="007A0CCB"/>
    <w:rsid w:val="007B1D5A"/>
    <w:rsid w:val="007C2709"/>
    <w:rsid w:val="007D792E"/>
    <w:rsid w:val="007F7D54"/>
    <w:rsid w:val="0081636D"/>
    <w:rsid w:val="008224ED"/>
    <w:rsid w:val="00826EA0"/>
    <w:rsid w:val="0082707E"/>
    <w:rsid w:val="0083201A"/>
    <w:rsid w:val="00842C3F"/>
    <w:rsid w:val="0084407F"/>
    <w:rsid w:val="008443F5"/>
    <w:rsid w:val="00852202"/>
    <w:rsid w:val="0086079D"/>
    <w:rsid w:val="00861651"/>
    <w:rsid w:val="00861DF3"/>
    <w:rsid w:val="0086270A"/>
    <w:rsid w:val="0086371F"/>
    <w:rsid w:val="008731CB"/>
    <w:rsid w:val="00886C14"/>
    <w:rsid w:val="00894D47"/>
    <w:rsid w:val="008A0FD8"/>
    <w:rsid w:val="008A3579"/>
    <w:rsid w:val="008A60FE"/>
    <w:rsid w:val="008B5186"/>
    <w:rsid w:val="008B681D"/>
    <w:rsid w:val="008C0C9B"/>
    <w:rsid w:val="008C2EDC"/>
    <w:rsid w:val="008C3B5C"/>
    <w:rsid w:val="008C6272"/>
    <w:rsid w:val="008C6EC4"/>
    <w:rsid w:val="008D486A"/>
    <w:rsid w:val="008D536E"/>
    <w:rsid w:val="008E0C54"/>
    <w:rsid w:val="008E7428"/>
    <w:rsid w:val="008F730D"/>
    <w:rsid w:val="008F75B2"/>
    <w:rsid w:val="008F7F43"/>
    <w:rsid w:val="00904A56"/>
    <w:rsid w:val="00904D59"/>
    <w:rsid w:val="00905FEF"/>
    <w:rsid w:val="00911BFE"/>
    <w:rsid w:val="00912142"/>
    <w:rsid w:val="00921323"/>
    <w:rsid w:val="00926150"/>
    <w:rsid w:val="00932E45"/>
    <w:rsid w:val="00934F86"/>
    <w:rsid w:val="00946F92"/>
    <w:rsid w:val="00951A46"/>
    <w:rsid w:val="00951BE5"/>
    <w:rsid w:val="009633C2"/>
    <w:rsid w:val="009648BB"/>
    <w:rsid w:val="009727A6"/>
    <w:rsid w:val="00975651"/>
    <w:rsid w:val="0097580F"/>
    <w:rsid w:val="009775E4"/>
    <w:rsid w:val="0098604D"/>
    <w:rsid w:val="009914EE"/>
    <w:rsid w:val="009916AB"/>
    <w:rsid w:val="00991FF7"/>
    <w:rsid w:val="00994A40"/>
    <w:rsid w:val="009A1B61"/>
    <w:rsid w:val="009A38BA"/>
    <w:rsid w:val="009A5D62"/>
    <w:rsid w:val="009B38D1"/>
    <w:rsid w:val="009C0CCB"/>
    <w:rsid w:val="009C7B25"/>
    <w:rsid w:val="009D1644"/>
    <w:rsid w:val="009D37AD"/>
    <w:rsid w:val="009D40D0"/>
    <w:rsid w:val="009D4C0D"/>
    <w:rsid w:val="009D4E73"/>
    <w:rsid w:val="00A04701"/>
    <w:rsid w:val="00A04EB0"/>
    <w:rsid w:val="00A0593F"/>
    <w:rsid w:val="00A075E2"/>
    <w:rsid w:val="00A110B2"/>
    <w:rsid w:val="00A143E7"/>
    <w:rsid w:val="00A16708"/>
    <w:rsid w:val="00A21C0F"/>
    <w:rsid w:val="00A224CB"/>
    <w:rsid w:val="00A279C2"/>
    <w:rsid w:val="00A32F2E"/>
    <w:rsid w:val="00A433F8"/>
    <w:rsid w:val="00A44EC7"/>
    <w:rsid w:val="00A51D51"/>
    <w:rsid w:val="00A52852"/>
    <w:rsid w:val="00A60C51"/>
    <w:rsid w:val="00A61A64"/>
    <w:rsid w:val="00A61DC1"/>
    <w:rsid w:val="00A64F0F"/>
    <w:rsid w:val="00A67E7A"/>
    <w:rsid w:val="00A7443B"/>
    <w:rsid w:val="00A85A36"/>
    <w:rsid w:val="00A934C2"/>
    <w:rsid w:val="00AA0A83"/>
    <w:rsid w:val="00AB5BEA"/>
    <w:rsid w:val="00AC5549"/>
    <w:rsid w:val="00AC6DCB"/>
    <w:rsid w:val="00AD658B"/>
    <w:rsid w:val="00AE5A78"/>
    <w:rsid w:val="00AE7F4C"/>
    <w:rsid w:val="00B04FE3"/>
    <w:rsid w:val="00B12069"/>
    <w:rsid w:val="00B12111"/>
    <w:rsid w:val="00B13319"/>
    <w:rsid w:val="00B165E7"/>
    <w:rsid w:val="00B1755C"/>
    <w:rsid w:val="00B17DD4"/>
    <w:rsid w:val="00B24857"/>
    <w:rsid w:val="00B258EA"/>
    <w:rsid w:val="00B355E2"/>
    <w:rsid w:val="00B3728F"/>
    <w:rsid w:val="00B4739D"/>
    <w:rsid w:val="00B530A0"/>
    <w:rsid w:val="00B539A7"/>
    <w:rsid w:val="00B55DD9"/>
    <w:rsid w:val="00B56198"/>
    <w:rsid w:val="00B65F09"/>
    <w:rsid w:val="00B718A2"/>
    <w:rsid w:val="00B735DC"/>
    <w:rsid w:val="00B77124"/>
    <w:rsid w:val="00B77141"/>
    <w:rsid w:val="00B8549A"/>
    <w:rsid w:val="00BA54AD"/>
    <w:rsid w:val="00BA6075"/>
    <w:rsid w:val="00BB084A"/>
    <w:rsid w:val="00BB1A44"/>
    <w:rsid w:val="00BB2F5A"/>
    <w:rsid w:val="00BB3960"/>
    <w:rsid w:val="00BB4C36"/>
    <w:rsid w:val="00BC3927"/>
    <w:rsid w:val="00BC75D6"/>
    <w:rsid w:val="00BD346A"/>
    <w:rsid w:val="00BD7C82"/>
    <w:rsid w:val="00BE3617"/>
    <w:rsid w:val="00C06C96"/>
    <w:rsid w:val="00C10465"/>
    <w:rsid w:val="00C136E8"/>
    <w:rsid w:val="00C13917"/>
    <w:rsid w:val="00C15062"/>
    <w:rsid w:val="00C23449"/>
    <w:rsid w:val="00C24A03"/>
    <w:rsid w:val="00C2735F"/>
    <w:rsid w:val="00C401A1"/>
    <w:rsid w:val="00C428C5"/>
    <w:rsid w:val="00C42CEB"/>
    <w:rsid w:val="00C43B1E"/>
    <w:rsid w:val="00C47F49"/>
    <w:rsid w:val="00C5452D"/>
    <w:rsid w:val="00C54829"/>
    <w:rsid w:val="00C63E45"/>
    <w:rsid w:val="00C660BE"/>
    <w:rsid w:val="00C673C6"/>
    <w:rsid w:val="00C7036D"/>
    <w:rsid w:val="00C74210"/>
    <w:rsid w:val="00C85BD5"/>
    <w:rsid w:val="00C86AE1"/>
    <w:rsid w:val="00C87F4B"/>
    <w:rsid w:val="00C92E2E"/>
    <w:rsid w:val="00C95281"/>
    <w:rsid w:val="00C95402"/>
    <w:rsid w:val="00CA69C8"/>
    <w:rsid w:val="00CB39AD"/>
    <w:rsid w:val="00CB54BF"/>
    <w:rsid w:val="00CC5972"/>
    <w:rsid w:val="00CD3360"/>
    <w:rsid w:val="00CD57D3"/>
    <w:rsid w:val="00CD7856"/>
    <w:rsid w:val="00CE3319"/>
    <w:rsid w:val="00CE500A"/>
    <w:rsid w:val="00CF2887"/>
    <w:rsid w:val="00CF7B5F"/>
    <w:rsid w:val="00D0125C"/>
    <w:rsid w:val="00D07CB3"/>
    <w:rsid w:val="00D109C4"/>
    <w:rsid w:val="00D11558"/>
    <w:rsid w:val="00D134AB"/>
    <w:rsid w:val="00D14770"/>
    <w:rsid w:val="00D238BE"/>
    <w:rsid w:val="00D2605B"/>
    <w:rsid w:val="00D260B0"/>
    <w:rsid w:val="00D2685D"/>
    <w:rsid w:val="00D26CC3"/>
    <w:rsid w:val="00D27679"/>
    <w:rsid w:val="00D27A1F"/>
    <w:rsid w:val="00D32919"/>
    <w:rsid w:val="00D35AF5"/>
    <w:rsid w:val="00D457FE"/>
    <w:rsid w:val="00D479BB"/>
    <w:rsid w:val="00D53E8E"/>
    <w:rsid w:val="00D540A3"/>
    <w:rsid w:val="00D5471E"/>
    <w:rsid w:val="00D708D7"/>
    <w:rsid w:val="00D80AD2"/>
    <w:rsid w:val="00D8449C"/>
    <w:rsid w:val="00D8499E"/>
    <w:rsid w:val="00D87A97"/>
    <w:rsid w:val="00D94B33"/>
    <w:rsid w:val="00DA5D4E"/>
    <w:rsid w:val="00DB520F"/>
    <w:rsid w:val="00DB59F1"/>
    <w:rsid w:val="00DB614F"/>
    <w:rsid w:val="00DB7749"/>
    <w:rsid w:val="00DB7F61"/>
    <w:rsid w:val="00DC3B99"/>
    <w:rsid w:val="00DC790A"/>
    <w:rsid w:val="00DC7FC4"/>
    <w:rsid w:val="00DD2826"/>
    <w:rsid w:val="00DD664C"/>
    <w:rsid w:val="00DE14A5"/>
    <w:rsid w:val="00DE15E7"/>
    <w:rsid w:val="00DE355F"/>
    <w:rsid w:val="00DE399D"/>
    <w:rsid w:val="00DE57DE"/>
    <w:rsid w:val="00DE7A49"/>
    <w:rsid w:val="00DE7D3E"/>
    <w:rsid w:val="00DF2FE4"/>
    <w:rsid w:val="00DF5375"/>
    <w:rsid w:val="00E0643C"/>
    <w:rsid w:val="00E102E8"/>
    <w:rsid w:val="00E17661"/>
    <w:rsid w:val="00E17698"/>
    <w:rsid w:val="00E27D19"/>
    <w:rsid w:val="00E3056E"/>
    <w:rsid w:val="00E32C15"/>
    <w:rsid w:val="00E33DCE"/>
    <w:rsid w:val="00E46A6E"/>
    <w:rsid w:val="00E544C1"/>
    <w:rsid w:val="00E546CB"/>
    <w:rsid w:val="00E61935"/>
    <w:rsid w:val="00E635A8"/>
    <w:rsid w:val="00E663CF"/>
    <w:rsid w:val="00E671EF"/>
    <w:rsid w:val="00E71356"/>
    <w:rsid w:val="00E72857"/>
    <w:rsid w:val="00E7426E"/>
    <w:rsid w:val="00E760A8"/>
    <w:rsid w:val="00E83441"/>
    <w:rsid w:val="00E948B4"/>
    <w:rsid w:val="00E97B25"/>
    <w:rsid w:val="00EA3D57"/>
    <w:rsid w:val="00EB37A2"/>
    <w:rsid w:val="00EB62EA"/>
    <w:rsid w:val="00EC4925"/>
    <w:rsid w:val="00EC6E67"/>
    <w:rsid w:val="00ED2613"/>
    <w:rsid w:val="00ED30CF"/>
    <w:rsid w:val="00ED3719"/>
    <w:rsid w:val="00ED7742"/>
    <w:rsid w:val="00EE28D3"/>
    <w:rsid w:val="00EE3FDC"/>
    <w:rsid w:val="00EF0C72"/>
    <w:rsid w:val="00EF6275"/>
    <w:rsid w:val="00EF630B"/>
    <w:rsid w:val="00F11085"/>
    <w:rsid w:val="00F14D21"/>
    <w:rsid w:val="00F14E49"/>
    <w:rsid w:val="00F220D8"/>
    <w:rsid w:val="00F26143"/>
    <w:rsid w:val="00F30150"/>
    <w:rsid w:val="00F312D6"/>
    <w:rsid w:val="00F317C9"/>
    <w:rsid w:val="00F358EA"/>
    <w:rsid w:val="00F36FB7"/>
    <w:rsid w:val="00F426E6"/>
    <w:rsid w:val="00F4635B"/>
    <w:rsid w:val="00F51DA5"/>
    <w:rsid w:val="00F53599"/>
    <w:rsid w:val="00F5389C"/>
    <w:rsid w:val="00F64BB2"/>
    <w:rsid w:val="00F701F9"/>
    <w:rsid w:val="00F71813"/>
    <w:rsid w:val="00F75049"/>
    <w:rsid w:val="00F77E8B"/>
    <w:rsid w:val="00F818DC"/>
    <w:rsid w:val="00F82F56"/>
    <w:rsid w:val="00F83766"/>
    <w:rsid w:val="00F83BDE"/>
    <w:rsid w:val="00F96309"/>
    <w:rsid w:val="00F97642"/>
    <w:rsid w:val="00FA0320"/>
    <w:rsid w:val="00FA1FA7"/>
    <w:rsid w:val="00FB3493"/>
    <w:rsid w:val="00FC2C90"/>
    <w:rsid w:val="00FC43F2"/>
    <w:rsid w:val="00FC49D4"/>
    <w:rsid w:val="00FD33C9"/>
    <w:rsid w:val="00FD6216"/>
    <w:rsid w:val="00FE69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fillcolor="white">
      <v:fill color="white"/>
    </o:shapedefaults>
    <o:shapelayout v:ext="edit">
      <o:idmap v:ext="edit" data="2"/>
    </o:shapelayout>
  </w:shapeDefaults>
  <w:decimalSymbol w:val=","/>
  <w:listSeparator w:val=";"/>
  <w14:docId w14:val="6DE2B85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Normal (Web)" w:uiPriority="99"/>
    <w:lsdException w:name="HTML Definition"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99"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5452D"/>
    <w:pPr>
      <w:spacing w:after="60"/>
      <w:jc w:val="both"/>
    </w:pPr>
    <w:rPr>
      <w:rFonts w:ascii="Arial" w:hAnsi="Arial"/>
      <w:sz w:val="22"/>
      <w:szCs w:val="24"/>
      <w:lang w:val="en-GB" w:eastAsia="en-US"/>
    </w:rPr>
  </w:style>
  <w:style w:type="paragraph" w:styleId="Titre1">
    <w:name w:val="heading 1"/>
    <w:basedOn w:val="Normal"/>
    <w:next w:val="Normal"/>
    <w:qFormat/>
    <w:rsid w:val="008F7F43"/>
    <w:pPr>
      <w:keepNext/>
      <w:numPr>
        <w:numId w:val="7"/>
      </w:numPr>
      <w:pBdr>
        <w:top w:val="single" w:sz="4" w:space="1" w:color="auto"/>
      </w:pBdr>
      <w:suppressAutoHyphens/>
      <w:spacing w:before="104" w:after="226"/>
      <w:outlineLvl w:val="0"/>
    </w:pPr>
    <w:rPr>
      <w:rFonts w:ascii="Century Gothic" w:hAnsi="Century Gothic"/>
      <w:b/>
      <w:smallCaps/>
      <w:spacing w:val="-2"/>
      <w:sz w:val="28"/>
      <w:szCs w:val="20"/>
    </w:rPr>
  </w:style>
  <w:style w:type="paragraph" w:styleId="Titre2">
    <w:name w:val="heading 2"/>
    <w:basedOn w:val="Normal"/>
    <w:next w:val="Normal"/>
    <w:qFormat/>
    <w:pPr>
      <w:keepNext/>
      <w:ind w:left="720"/>
      <w:outlineLvl w:val="1"/>
    </w:pPr>
    <w:rPr>
      <w:rFonts w:ascii="Arial Narrow" w:hAnsi="Arial Narrow"/>
      <w:b/>
      <w:bCs/>
    </w:rPr>
  </w:style>
  <w:style w:type="paragraph" w:styleId="Titre3">
    <w:name w:val="heading 3"/>
    <w:basedOn w:val="Normal"/>
    <w:next w:val="Normal"/>
    <w:qFormat/>
    <w:pPr>
      <w:keepNext/>
      <w:widowControl w:val="0"/>
      <w:tabs>
        <w:tab w:val="left" w:pos="2160"/>
        <w:tab w:val="left" w:pos="9360"/>
      </w:tabs>
      <w:outlineLvl w:val="2"/>
    </w:pPr>
    <w:rPr>
      <w:rFonts w:ascii="Courier" w:hAnsi="Courier"/>
      <w:b/>
      <w:sz w:val="28"/>
      <w:szCs w:val="20"/>
      <w:lang w:val="en-US"/>
    </w:rPr>
  </w:style>
  <w:style w:type="paragraph" w:styleId="Titre4">
    <w:name w:val="heading 4"/>
    <w:basedOn w:val="Normal"/>
    <w:next w:val="Normal"/>
    <w:qFormat/>
    <w:pPr>
      <w:keepNext/>
      <w:widowControl w:val="0"/>
      <w:spacing w:after="540"/>
      <w:ind w:left="116"/>
      <w:outlineLvl w:val="3"/>
    </w:pPr>
    <w:rPr>
      <w:b/>
      <w:spacing w:val="15"/>
      <w:sz w:val="28"/>
      <w:lang w:val="en-US"/>
    </w:rPr>
  </w:style>
  <w:style w:type="paragraph" w:styleId="Titre5">
    <w:name w:val="heading 5"/>
    <w:basedOn w:val="Normal"/>
    <w:next w:val="Normal"/>
    <w:qFormat/>
    <w:pPr>
      <w:keepNext/>
      <w:spacing w:before="120" w:after="120"/>
      <w:ind w:left="360"/>
      <w:jc w:val="center"/>
      <w:outlineLvl w:val="4"/>
    </w:pPr>
    <w:rPr>
      <w:rFonts w:ascii="Arial Narrow" w:hAnsi="Arial Narrow"/>
      <w:b/>
      <w:bCs/>
      <w:sz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pPr>
      <w:tabs>
        <w:tab w:val="center" w:pos="4153"/>
        <w:tab w:val="right" w:pos="8306"/>
      </w:tabs>
    </w:pPr>
  </w:style>
  <w:style w:type="paragraph" w:styleId="Pieddepage">
    <w:name w:val="footer"/>
    <w:basedOn w:val="Normal"/>
    <w:pPr>
      <w:tabs>
        <w:tab w:val="center" w:pos="4153"/>
        <w:tab w:val="right" w:pos="8306"/>
      </w:tabs>
    </w:pPr>
  </w:style>
  <w:style w:type="character" w:styleId="Numrodepage">
    <w:name w:val="page number"/>
    <w:basedOn w:val="Policepardfaut"/>
  </w:style>
  <w:style w:type="paragraph" w:styleId="Notedebasdepage">
    <w:name w:val="footnote text"/>
    <w:basedOn w:val="Normal"/>
    <w:link w:val="NotedebasdepageCar"/>
    <w:uiPriority w:val="99"/>
    <w:semiHidden/>
    <w:pPr>
      <w:widowControl w:val="0"/>
    </w:pPr>
    <w:rPr>
      <w:rFonts w:ascii="Courier" w:hAnsi="Courier"/>
      <w:szCs w:val="20"/>
      <w:lang w:val="en-US"/>
    </w:rPr>
  </w:style>
  <w:style w:type="paragraph" w:styleId="Corpsdetexte3">
    <w:name w:val="Body Text 3"/>
    <w:basedOn w:val="Normal"/>
    <w:rPr>
      <w:szCs w:val="20"/>
      <w:lang w:val="en-US"/>
    </w:rPr>
  </w:style>
  <w:style w:type="paragraph" w:styleId="Retraitcorpsdetexte">
    <w:name w:val="Body Text Indent"/>
    <w:basedOn w:val="Normal"/>
    <w:pPr>
      <w:tabs>
        <w:tab w:val="left" w:pos="360"/>
      </w:tabs>
    </w:pPr>
    <w:rPr>
      <w:b/>
      <w:i/>
      <w:sz w:val="28"/>
      <w:szCs w:val="20"/>
      <w:lang w:val="en-US"/>
    </w:rPr>
  </w:style>
  <w:style w:type="character" w:styleId="Lienhypertexte">
    <w:name w:val="Hyperlink"/>
    <w:basedOn w:val="Policepardfaut"/>
    <w:rPr>
      <w:color w:val="0000FF"/>
      <w:u w:val="single"/>
    </w:rPr>
  </w:style>
  <w:style w:type="character" w:styleId="Lienhypertextesuivivisit">
    <w:name w:val="FollowedHyperlink"/>
    <w:basedOn w:val="Policepardfaut"/>
    <w:rPr>
      <w:color w:val="800080"/>
      <w:u w:val="single"/>
    </w:rPr>
  </w:style>
  <w:style w:type="paragraph" w:styleId="Corpsdetexte">
    <w:name w:val="Body Text"/>
    <w:basedOn w:val="Normal"/>
    <w:pPr>
      <w:pBdr>
        <w:bottom w:val="single" w:sz="4" w:space="1" w:color="auto"/>
      </w:pBdr>
    </w:pPr>
    <w:rPr>
      <w:rFonts w:ascii="Arial Narrow" w:hAnsi="Arial Narrow"/>
      <w:i/>
      <w:iCs/>
    </w:rPr>
  </w:style>
  <w:style w:type="paragraph" w:styleId="Corpsdetexte2">
    <w:name w:val="Body Text 2"/>
    <w:basedOn w:val="Normal"/>
    <w:pPr>
      <w:spacing w:before="120" w:after="120"/>
    </w:pPr>
    <w:rPr>
      <w:rFonts w:ascii="Arial Narrow" w:hAnsi="Arial Narrow"/>
    </w:rPr>
  </w:style>
  <w:style w:type="paragraph" w:styleId="Textedebulles">
    <w:name w:val="Balloon Text"/>
    <w:basedOn w:val="Normal"/>
    <w:semiHidden/>
    <w:rsid w:val="00D260B0"/>
    <w:rPr>
      <w:rFonts w:ascii="Tahoma" w:hAnsi="Tahoma" w:cs="Tahoma"/>
      <w:sz w:val="16"/>
      <w:szCs w:val="16"/>
    </w:rPr>
  </w:style>
  <w:style w:type="character" w:styleId="Marquedecommentaire">
    <w:name w:val="annotation reference"/>
    <w:basedOn w:val="Policepardfaut"/>
    <w:uiPriority w:val="99"/>
    <w:semiHidden/>
    <w:rsid w:val="00EF6275"/>
    <w:rPr>
      <w:sz w:val="16"/>
      <w:szCs w:val="16"/>
    </w:rPr>
  </w:style>
  <w:style w:type="paragraph" w:styleId="Commentaire">
    <w:name w:val="annotation text"/>
    <w:basedOn w:val="Normal"/>
    <w:link w:val="CommentaireCar"/>
    <w:uiPriority w:val="99"/>
    <w:semiHidden/>
    <w:rsid w:val="00EF6275"/>
    <w:rPr>
      <w:szCs w:val="20"/>
    </w:rPr>
  </w:style>
  <w:style w:type="paragraph" w:styleId="Objetducommentaire">
    <w:name w:val="annotation subject"/>
    <w:basedOn w:val="Commentaire"/>
    <w:next w:val="Commentaire"/>
    <w:semiHidden/>
    <w:rsid w:val="00EF6275"/>
    <w:rPr>
      <w:b/>
      <w:bCs/>
    </w:rPr>
  </w:style>
  <w:style w:type="table" w:styleId="Grilledutableau">
    <w:name w:val="Table Grid"/>
    <w:basedOn w:val="TableauNormal"/>
    <w:uiPriority w:val="39"/>
    <w:rsid w:val="002333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E663CF"/>
    <w:pPr>
      <w:spacing w:before="100" w:beforeAutospacing="1" w:after="100" w:afterAutospacing="1"/>
    </w:pPr>
    <w:rPr>
      <w:rFonts w:ascii="Times New Roman" w:hAnsi="Times New Roman"/>
      <w:sz w:val="24"/>
      <w:lang w:val="en-US"/>
    </w:rPr>
  </w:style>
  <w:style w:type="character" w:styleId="Accentuation">
    <w:name w:val="Emphasis"/>
    <w:basedOn w:val="Policepardfaut"/>
    <w:qFormat/>
    <w:rsid w:val="00F30150"/>
    <w:rPr>
      <w:i/>
      <w:iCs/>
    </w:rPr>
  </w:style>
  <w:style w:type="character" w:styleId="Appelnotedebasdep">
    <w:name w:val="footnote reference"/>
    <w:basedOn w:val="Policepardfaut"/>
    <w:uiPriority w:val="99"/>
    <w:rsid w:val="00912142"/>
    <w:rPr>
      <w:vertAlign w:val="superscript"/>
    </w:rPr>
  </w:style>
  <w:style w:type="paragraph" w:customStyle="1" w:styleId="Char">
    <w:name w:val="Char"/>
    <w:basedOn w:val="Titre2"/>
    <w:rsid w:val="00912142"/>
    <w:pPr>
      <w:pageBreakBefore/>
      <w:tabs>
        <w:tab w:val="left" w:pos="850"/>
        <w:tab w:val="left" w:pos="1191"/>
        <w:tab w:val="left" w:pos="1531"/>
      </w:tabs>
      <w:ind w:left="0"/>
      <w:jc w:val="center"/>
    </w:pPr>
    <w:rPr>
      <w:rFonts w:ascii="Tahoma" w:hAnsi="Tahoma" w:cs="Tahoma"/>
      <w:bCs w:val="0"/>
      <w:color w:val="FFFFFF"/>
      <w:spacing w:val="20"/>
      <w:szCs w:val="22"/>
      <w:lang w:eastAsia="zh-CN"/>
    </w:rPr>
  </w:style>
  <w:style w:type="paragraph" w:styleId="Paragraphedeliste">
    <w:name w:val="List Paragraph"/>
    <w:basedOn w:val="Normal"/>
    <w:link w:val="ParagraphedelisteCar"/>
    <w:uiPriority w:val="99"/>
    <w:qFormat/>
    <w:rsid w:val="00DB520F"/>
    <w:pPr>
      <w:spacing w:after="0"/>
      <w:ind w:left="720"/>
      <w:jc w:val="left"/>
    </w:pPr>
    <w:rPr>
      <w:rFonts w:ascii="Times New Roman" w:hAnsi="Times New Roman"/>
      <w:sz w:val="24"/>
      <w:lang w:val="en-US"/>
    </w:rPr>
  </w:style>
  <w:style w:type="character" w:customStyle="1" w:styleId="UnresolvedMention1">
    <w:name w:val="Unresolved Mention1"/>
    <w:basedOn w:val="Policepardfaut"/>
    <w:uiPriority w:val="99"/>
    <w:semiHidden/>
    <w:unhideWhenUsed/>
    <w:rsid w:val="00C10465"/>
    <w:rPr>
      <w:color w:val="808080"/>
      <w:shd w:val="clear" w:color="auto" w:fill="E6E6E6"/>
    </w:rPr>
  </w:style>
  <w:style w:type="paragraph" w:styleId="Sansinterligne">
    <w:name w:val="No Spacing"/>
    <w:link w:val="SansinterligneCar"/>
    <w:uiPriority w:val="1"/>
    <w:qFormat/>
    <w:rsid w:val="00A21C0F"/>
    <w:rPr>
      <w:rFonts w:asciiTheme="minorHAnsi" w:eastAsiaTheme="minorEastAsia" w:hAnsiTheme="minorHAnsi" w:cstheme="minorBidi"/>
      <w:sz w:val="22"/>
      <w:szCs w:val="22"/>
    </w:rPr>
  </w:style>
  <w:style w:type="character" w:customStyle="1" w:styleId="SansinterligneCar">
    <w:name w:val="Sans interligne Car"/>
    <w:basedOn w:val="Policepardfaut"/>
    <w:link w:val="Sansinterligne"/>
    <w:uiPriority w:val="1"/>
    <w:rsid w:val="00A21C0F"/>
    <w:rPr>
      <w:rFonts w:asciiTheme="minorHAnsi" w:eastAsiaTheme="minorEastAsia" w:hAnsiTheme="minorHAnsi" w:cstheme="minorBidi"/>
      <w:sz w:val="22"/>
      <w:szCs w:val="22"/>
    </w:rPr>
  </w:style>
  <w:style w:type="character" w:customStyle="1" w:styleId="CommentaireCar">
    <w:name w:val="Commentaire Car"/>
    <w:basedOn w:val="Policepardfaut"/>
    <w:link w:val="Commentaire"/>
    <w:uiPriority w:val="99"/>
    <w:semiHidden/>
    <w:rsid w:val="001E7659"/>
    <w:rPr>
      <w:rFonts w:ascii="Arial" w:hAnsi="Arial"/>
      <w:sz w:val="22"/>
      <w:lang w:val="en-GB" w:eastAsia="en-US"/>
    </w:rPr>
  </w:style>
  <w:style w:type="character" w:customStyle="1" w:styleId="NotedebasdepageCar">
    <w:name w:val="Note de bas de page Car"/>
    <w:basedOn w:val="Policepardfaut"/>
    <w:link w:val="Notedebasdepage"/>
    <w:uiPriority w:val="99"/>
    <w:semiHidden/>
    <w:rsid w:val="0084407F"/>
    <w:rPr>
      <w:rFonts w:ascii="Courier" w:hAnsi="Courier"/>
      <w:sz w:val="22"/>
      <w:lang w:eastAsia="en-US"/>
    </w:rPr>
  </w:style>
  <w:style w:type="character" w:customStyle="1" w:styleId="ParagraphedelisteCar">
    <w:name w:val="Paragraphe de liste Car"/>
    <w:link w:val="Paragraphedeliste"/>
    <w:uiPriority w:val="34"/>
    <w:locked/>
    <w:rsid w:val="00D2685D"/>
    <w:rPr>
      <w:sz w:val="24"/>
      <w:szCs w:val="24"/>
      <w:lang w:eastAsia="en-US"/>
    </w:rPr>
  </w:style>
  <w:style w:type="paragraph" w:styleId="Titre">
    <w:name w:val="Title"/>
    <w:basedOn w:val="Normal"/>
    <w:next w:val="Normal"/>
    <w:link w:val="TitreCar"/>
    <w:qFormat/>
    <w:rsid w:val="003D1226"/>
    <w:pPr>
      <w:spacing w:after="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rsid w:val="003D1226"/>
    <w:rPr>
      <w:rFonts w:asciiTheme="majorHAnsi" w:eastAsiaTheme="majorEastAsia" w:hAnsiTheme="majorHAnsi" w:cstheme="majorBidi"/>
      <w:spacing w:val="-10"/>
      <w:kern w:val="28"/>
      <w:sz w:val="56"/>
      <w:szCs w:val="5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1831845">
      <w:bodyDiv w:val="1"/>
      <w:marLeft w:val="0"/>
      <w:marRight w:val="0"/>
      <w:marTop w:val="0"/>
      <w:marBottom w:val="0"/>
      <w:divBdr>
        <w:top w:val="none" w:sz="0" w:space="0" w:color="auto"/>
        <w:left w:val="none" w:sz="0" w:space="0" w:color="auto"/>
        <w:bottom w:val="none" w:sz="0" w:space="0" w:color="auto"/>
        <w:right w:val="none" w:sz="0" w:space="0" w:color="auto"/>
      </w:divBdr>
    </w:div>
    <w:div w:id="463236037">
      <w:bodyDiv w:val="1"/>
      <w:marLeft w:val="0"/>
      <w:marRight w:val="0"/>
      <w:marTop w:val="0"/>
      <w:marBottom w:val="0"/>
      <w:divBdr>
        <w:top w:val="none" w:sz="0" w:space="0" w:color="auto"/>
        <w:left w:val="none" w:sz="0" w:space="0" w:color="auto"/>
        <w:bottom w:val="none" w:sz="0" w:space="0" w:color="auto"/>
        <w:right w:val="none" w:sz="0" w:space="0" w:color="auto"/>
      </w:divBdr>
      <w:divsChild>
        <w:div w:id="1011958049">
          <w:marLeft w:val="0"/>
          <w:marRight w:val="0"/>
          <w:marTop w:val="0"/>
          <w:marBottom w:val="0"/>
          <w:divBdr>
            <w:top w:val="none" w:sz="0" w:space="0" w:color="auto"/>
            <w:left w:val="none" w:sz="0" w:space="0" w:color="auto"/>
            <w:bottom w:val="none" w:sz="0" w:space="0" w:color="auto"/>
            <w:right w:val="none" w:sz="0" w:space="0" w:color="auto"/>
          </w:divBdr>
        </w:div>
      </w:divsChild>
    </w:div>
    <w:div w:id="812720354">
      <w:bodyDiv w:val="1"/>
      <w:marLeft w:val="0"/>
      <w:marRight w:val="0"/>
      <w:marTop w:val="0"/>
      <w:marBottom w:val="0"/>
      <w:divBdr>
        <w:top w:val="none" w:sz="0" w:space="0" w:color="auto"/>
        <w:left w:val="none" w:sz="0" w:space="0" w:color="auto"/>
        <w:bottom w:val="none" w:sz="0" w:space="0" w:color="auto"/>
        <w:right w:val="none" w:sz="0" w:space="0" w:color="auto"/>
      </w:divBdr>
    </w:div>
    <w:div w:id="951787584">
      <w:bodyDiv w:val="1"/>
      <w:marLeft w:val="0"/>
      <w:marRight w:val="0"/>
      <w:marTop w:val="0"/>
      <w:marBottom w:val="0"/>
      <w:divBdr>
        <w:top w:val="none" w:sz="0" w:space="0" w:color="auto"/>
        <w:left w:val="none" w:sz="0" w:space="0" w:color="auto"/>
        <w:bottom w:val="none" w:sz="0" w:space="0" w:color="auto"/>
        <w:right w:val="none" w:sz="0" w:space="0" w:color="auto"/>
      </w:divBdr>
    </w:div>
    <w:div w:id="1578900971">
      <w:bodyDiv w:val="1"/>
      <w:marLeft w:val="0"/>
      <w:marRight w:val="0"/>
      <w:marTop w:val="0"/>
      <w:marBottom w:val="0"/>
      <w:divBdr>
        <w:top w:val="none" w:sz="0" w:space="0" w:color="auto"/>
        <w:left w:val="none" w:sz="0" w:space="0" w:color="auto"/>
        <w:bottom w:val="none" w:sz="0" w:space="0" w:color="auto"/>
        <w:right w:val="none" w:sz="0" w:space="0" w:color="auto"/>
      </w:divBdr>
    </w:div>
    <w:div w:id="1684159933">
      <w:bodyDiv w:val="1"/>
      <w:marLeft w:val="0"/>
      <w:marRight w:val="0"/>
      <w:marTop w:val="0"/>
      <w:marBottom w:val="0"/>
      <w:divBdr>
        <w:top w:val="none" w:sz="0" w:space="0" w:color="auto"/>
        <w:left w:val="none" w:sz="0" w:space="0" w:color="auto"/>
        <w:bottom w:val="none" w:sz="0" w:space="0" w:color="auto"/>
        <w:right w:val="none" w:sz="0" w:space="0" w:color="auto"/>
      </w:divBdr>
    </w:div>
    <w:div w:id="1899976380">
      <w:bodyDiv w:val="1"/>
      <w:marLeft w:val="0"/>
      <w:marRight w:val="0"/>
      <w:marTop w:val="0"/>
      <w:marBottom w:val="0"/>
      <w:divBdr>
        <w:top w:val="none" w:sz="0" w:space="0" w:color="auto"/>
        <w:left w:val="none" w:sz="0" w:space="0" w:color="auto"/>
        <w:bottom w:val="none" w:sz="0" w:space="0" w:color="auto"/>
        <w:right w:val="none" w:sz="0" w:space="0" w:color="auto"/>
      </w:divBdr>
      <w:divsChild>
        <w:div w:id="575242138">
          <w:marLeft w:val="0"/>
          <w:marRight w:val="0"/>
          <w:marTop w:val="0"/>
          <w:marBottom w:val="0"/>
          <w:divBdr>
            <w:top w:val="none" w:sz="0" w:space="0" w:color="auto"/>
            <w:left w:val="none" w:sz="0" w:space="0" w:color="auto"/>
            <w:bottom w:val="none" w:sz="0" w:space="0" w:color="auto"/>
            <w:right w:val="none" w:sz="0" w:space="0" w:color="auto"/>
          </w:divBdr>
        </w:div>
        <w:div w:id="1710913988">
          <w:marLeft w:val="0"/>
          <w:marRight w:val="0"/>
          <w:marTop w:val="0"/>
          <w:marBottom w:val="0"/>
          <w:divBdr>
            <w:top w:val="none" w:sz="0" w:space="0" w:color="auto"/>
            <w:left w:val="none" w:sz="0" w:space="0" w:color="auto"/>
            <w:bottom w:val="none" w:sz="0" w:space="0" w:color="auto"/>
            <w:right w:val="none" w:sz="0" w:space="0" w:color="auto"/>
          </w:divBdr>
        </w:div>
      </w:divsChild>
    </w:div>
    <w:div w:id="20554200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context.reverso.net/traduction/francais-anglais/pr%C3%A9paration+pr%C3%A9alable+et+l%27appui+aux+activit%C3%A9s+pr%C3%A9paratoire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TaxCatchAll xmlns="1ed4137b-41b2-488b-8250-6d369ec27664">
      <Value>763</Value>
      <Value>233</Value>
      <Value>232</Value>
      <Value>1175</Value>
      <Value>1212</Value>
      <Value>1107</Value>
      <Value>1174</Value>
    </TaxCatchAll>
    <_dlc_DocId xmlns="f1161f5b-24a3-4c2d-bc81-44cb9325e8ee">ATLASPDC-4-141268</_dlc_DocId>
    <_dlc_DocIdUrl xmlns="f1161f5b-24a3-4c2d-bc81-44cb9325e8ee">
      <Url>https://info.undp.org/docs/pdc/_layouts/DocIdRedir.aspx?ID=ATLASPDC-4-141268</Url>
      <Description>ATLASPDC-4-141268</Description>
    </_dlc_DocIdUrl>
    <UNDPDocumentCategoryTaxHTField0 xmlns="1ed4137b-41b2-488b-8250-6d369ec27664">
      <Terms xmlns="http://schemas.microsoft.com/office/infopath/2007/PartnerControls"/>
    </UNDPDocumentCategoryTaxHTField0>
    <b6db62fdefd74bd188b0c1cc54de5bcf xmlns="1ed4137b-41b2-488b-8250-6d369ec27664">
      <Terms xmlns="http://schemas.microsoft.com/office/infopath/2007/PartnerControls"/>
    </b6db62fdefd74bd188b0c1cc54de5bcf>
    <UndpDocFormat xmlns="1ed4137b-41b2-488b-8250-6d369ec27664" xsi:nil="true"/>
    <UNDPPublishedDate xmlns="f1161f5b-24a3-4c2d-bc81-44cb9325e8ee">2021-11-17T11:00:00+00:00</UNDPPublishedDate>
    <UNDPCountryTaxHTField0 xmlns="1ed4137b-41b2-488b-8250-6d369ec27664">
      <Terms xmlns="http://schemas.microsoft.com/office/infopath/2007/PartnerControls">
        <TermInfo xmlns="http://schemas.microsoft.com/office/infopath/2007/PartnerControls">
          <TermName xmlns="http://schemas.microsoft.com/office/infopath/2007/PartnerControls">Units/Offices</TermName>
          <TermId xmlns="http://schemas.microsoft.com/office/infopath/2007/PartnerControls">dc193c33-d84d-49b7-b96c-78772b816c2f</TermId>
        </TermInfo>
      </Terms>
    </UNDPCountryTaxHTField0>
    <UndpOUCode xmlns="1ed4137b-41b2-488b-8250-6d369ec27664">BEN</UndpOUCode>
    <PDC_x0020_Document_x0020_Category xmlns="f1161f5b-24a3-4c2d-bc81-44cb9325e8ee">Proposal</PDC_x0020_Document_x0020_Category>
    <UNDPSummary xmlns="f1161f5b-24a3-4c2d-bc81-44cb9325e8ee" xsi:nil="true"/>
    <UndpDocTypeMMTaxHTField0 xmlns="1ed4137b-41b2-488b-8250-6d369ec27664">
      <Terms xmlns="http://schemas.microsoft.com/office/infopath/2007/PartnerControls"/>
    </UndpDocTypeMMTaxHTField0>
    <UNDPFocusAreasTaxHTField0 xmlns="1ed4137b-41b2-488b-8250-6d369ec27664">
      <Terms xmlns="http://schemas.microsoft.com/office/infopath/2007/PartnerControls">
        <TermInfo xmlns="http://schemas.microsoft.com/office/infopath/2007/PartnerControls">
          <TermName xmlns="http://schemas.microsoft.com/office/infopath/2007/PartnerControls">Poverty Reduction</TermName>
          <TermId xmlns="http://schemas.microsoft.com/office/infopath/2007/PartnerControls">c594d747-5b40-4db6-8895-68504210264c</TermId>
        </TermInfo>
        <TermInfo xmlns="http://schemas.microsoft.com/office/infopath/2007/PartnerControls">
          <TermName xmlns="http://schemas.microsoft.com/office/infopath/2007/PartnerControls">Resilience</TermName>
          <TermId xmlns="http://schemas.microsoft.com/office/infopath/2007/PartnerControls">3417f382-f7a3-4ef0-8720-9ea8649f4e75</TermId>
        </TermInfo>
      </Terms>
    </UNDPFocusAreasTaxHTField0>
    <idff2b682fce4d0680503cd9036a3260 xmlns="f1161f5b-24a3-4c2d-bc81-44cb9325e8ee">
      <Terms xmlns="http://schemas.microsoft.com/office/infopath/2007/PartnerControls">
        <TermInfo xmlns="http://schemas.microsoft.com/office/infopath/2007/PartnerControls">
          <TermName xmlns="http://schemas.microsoft.com/office/infopath/2007/PartnerControls">Other</TermName>
          <TermId xmlns="http://schemas.microsoft.com/office/infopath/2007/PartnerControls">10be685e-4bef-4aec-b905-4df3748c0781</TermId>
        </TermInfo>
      </Terms>
    </idff2b682fce4d0680503cd9036a3260>
    <o4086b1782a74105bb5269035bccc8e9 xmlns="f1161f5b-24a3-4c2d-bc81-44cb9325e8ee">
      <Terms xmlns="http://schemas.microsoft.com/office/infopath/2007/PartnerControls">
        <TermInfo xmlns="http://schemas.microsoft.com/office/infopath/2007/PartnerControls">
          <TermName xmlns="http://schemas.microsoft.com/office/infopath/2007/PartnerControls">Draft</TermName>
          <TermId xmlns="http://schemas.microsoft.com/office/infopath/2007/PartnerControls">121d40a5-e62e-4d42-82e4-d6d12003de0a</TermId>
        </TermInfo>
      </Terms>
    </o4086b1782a74105bb5269035bccc8e9>
    <_Publisher xmlns="http://schemas.microsoft.com/sharepoint/v3/fields" xsi:nil="true"/>
    <UNDPPOPPFunctionalArea xmlns="f1161f5b-24a3-4c2d-bc81-44cb9325e8ee">Programme and Project</UNDPPOPPFunctionalArea>
    <Document_x0020_Coverage_x0020_Period_x0020_Start_x0020_Date xmlns="f1161f5b-24a3-4c2d-bc81-44cb9325e8ee">2021-11-15T05:00:00+00:00</Document_x0020_Coverage_x0020_Period_x0020_Start_x0020_Date>
    <Document_x0020_Coverage_x0020_Period_x0020_End_x0020_Date xmlns="f1161f5b-24a3-4c2d-bc81-44cb9325e8ee">2021-12-31T05:00:00+00:00</Document_x0020_Coverage_x0020_Period_x0020_End_x0020_Date>
    <Project_x0020_Number xmlns="f1161f5b-24a3-4c2d-bc81-44cb9325e8ee" xsi:nil="true"/>
    <Project_x0020_Manager xmlns="f1161f5b-24a3-4c2d-bc81-44cb9325e8ee" xsi:nil="true"/>
    <c4e2ab2cc9354bbf9064eeb465a566ea xmlns="1ed4137b-41b2-488b-8250-6d369ec27664">
      <Terms xmlns="http://schemas.microsoft.com/office/infopath/2007/PartnerControls"/>
    </c4e2ab2cc9354bbf9064eeb465a566ea>
    <UndpProjectNo xmlns="1ed4137b-41b2-488b-8250-6d369ec27664">00139984</UndpProjectNo>
    <UndpDocStatus xmlns="1ed4137b-41b2-488b-8250-6d369ec27664">Draft</UndpDocStatus>
    <Outcome1 xmlns="f1161f5b-24a3-4c2d-bc81-44cb9325e8ee">00129360</Outcome1>
    <UndpClassificationLevel xmlns="1ed4137b-41b2-488b-8250-6d369ec27664">Public</UndpClassificationLevel>
    <UndpIsTemplate xmlns="1ed4137b-41b2-488b-8250-6d369ec27664">No</UndpIsTemplate>
    <UndpDocID xmlns="1ed4137b-41b2-488b-8250-6d369ec27664" xsi:nil="true"/>
    <UN_x0020_LanguagesTaxHTField0 xmlns="1ed4137b-41b2-488b-8250-6d369ec27664">
      <Terms xmlns="http://schemas.microsoft.com/office/infopath/2007/PartnerControls">
        <TermInfo xmlns="http://schemas.microsoft.com/office/infopath/2007/PartnerControls">
          <TermName xmlns="http://schemas.microsoft.com/office/infopath/2007/PartnerControls">French</TermName>
          <TermId xmlns="http://schemas.microsoft.com/office/infopath/2007/PartnerControls">946783f8-cd0b-41e2-848e-7777f631248e</TermId>
        </TermInfo>
      </Terms>
    </UN_x0020_LanguagesTaxHTField0>
    <gc6531b704974d528487414686b72f6f xmlns="f1161f5b-24a3-4c2d-bc81-44cb9325e8ee">
      <Terms xmlns="http://schemas.microsoft.com/office/infopath/2007/PartnerControls">
        <TermInfo xmlns="http://schemas.microsoft.com/office/infopath/2007/PartnerControls">
          <TermName xmlns="http://schemas.microsoft.com/office/infopath/2007/PartnerControls">BEN</TermName>
          <TermId xmlns="http://schemas.microsoft.com/office/infopath/2007/PartnerControls">da271886-2650-4055-a85b-d60b902df11d</TermId>
        </TermInfo>
      </Terms>
    </gc6531b704974d528487414686b72f6f>
    <LikesCount xmlns="http://schemas.microsoft.com/sharepoint/v3" xsi:nil="true"/>
    <Ratings xmlns="http://schemas.microsoft.com/sharepoint/v3" xsi:nil="true"/>
    <LikedBy xmlns="http://schemas.microsoft.com/sharepoint/v3">
      <UserInfo>
        <DisplayName/>
        <AccountId xsi:nil="true"/>
        <AccountType/>
      </UserInfo>
    </LikedBy>
    <RatedBy xmlns="http://schemas.microsoft.com/sharepoint/v3">
      <UserInfo>
        <DisplayName/>
        <AccountId xsi:nil="true"/>
        <AccountType/>
      </UserInfo>
    </RatedBy>
  </documentManagement>
</p:properties>
</file>

<file path=customXml/item6.xml><?xml version="1.0" encoding="utf-8"?>
<?mso-contentType ?>
<SharedContentType xmlns="Microsoft.SharePoint.Taxonomy.ContentTypeSync" SourceId="28e6c43a-9e99-4bdd-9574-a0fa4ea3b61e" ContentTypeId="0x010100F075C04BA242A84ABD3293E3AD35CDA4" PreviousValue="false"/>
</file>

<file path=customXml/item7.xml><?xml version="1.0" encoding="utf-8"?>
<ct:contentTypeSchema xmlns:ct="http://schemas.microsoft.com/office/2006/metadata/contentType" xmlns:ma="http://schemas.microsoft.com/office/2006/metadata/properties/metaAttributes" ct:_="" ma:_="" ma:contentTypeName="UNDP Programme Document" ma:contentTypeID="0x010100F075C04BA242A84ABD3293E3AD35CDA400AB50428DC784B44FAACCAA5FAE40C0590045B5E632B552204ABF0E616DD66BDA0F" ma:contentTypeVersion="73" ma:contentTypeDescription="" ma:contentTypeScope="" ma:versionID="9de00a5f5954494ae107930a66ca92e2">
  <xsd:schema xmlns:xsd="http://www.w3.org/2001/XMLSchema" xmlns:xs="http://www.w3.org/2001/XMLSchema" xmlns:p="http://schemas.microsoft.com/office/2006/metadata/properties" xmlns:ns1="http://schemas.microsoft.com/sharepoint/v3" xmlns:ns2="http://schemas.microsoft.com/sharepoint/v3/fields" xmlns:ns3="1ed4137b-41b2-488b-8250-6d369ec27664" xmlns:ns4="f1161f5b-24a3-4c2d-bc81-44cb9325e8ee" targetNamespace="http://schemas.microsoft.com/office/2006/metadata/properties" ma:root="true" ma:fieldsID="074a45cdc06b655c19533db1d6232777" ns1:_="" ns2:_="" ns3:_="" ns4:_="">
    <xsd:import namespace="http://schemas.microsoft.com/sharepoint/v3"/>
    <xsd:import namespace="http://schemas.microsoft.com/sharepoint/v3/fields"/>
    <xsd:import namespace="1ed4137b-41b2-488b-8250-6d369ec27664"/>
    <xsd:import namespace="f1161f5b-24a3-4c2d-bc81-44cb9325e8ee"/>
    <xsd:element name="properties">
      <xsd:complexType>
        <xsd:sequence>
          <xsd:element name="documentManagement">
            <xsd:complexType>
              <xsd:all>
                <xsd:element ref="ns3:UndpClassificationLevel" minOccurs="0"/>
                <xsd:element ref="ns4:UNDPPOPPFunctionalArea" minOccurs="0"/>
                <xsd:element ref="ns3:UndpProjectNo" minOccurs="0"/>
                <xsd:element ref="ns4:Outcome1" minOccurs="0"/>
                <xsd:element ref="ns3:UndpDocStatus" minOccurs="0"/>
                <xsd:element ref="ns3:UndpOUCode" minOccurs="0"/>
                <xsd:element ref="ns3:UndpDocFormat" minOccurs="0"/>
                <xsd:element ref="ns3:UndpDocID" minOccurs="0"/>
                <xsd:element ref="ns4:PDC_x0020_Document_x0020_Category" minOccurs="0"/>
                <xsd:element ref="ns4:UNDPPublishedDate" minOccurs="0"/>
                <xsd:element ref="ns4:UNDPSummary" minOccurs="0"/>
                <xsd:element ref="ns3:TaxCatchAll" minOccurs="0"/>
                <xsd:element ref="ns3:TaxCatchAllLabel" minOccurs="0"/>
                <xsd:element ref="ns3:UndpDocTypeMMTaxHTField0" minOccurs="0"/>
                <xsd:element ref="ns3:UNDPCountryTaxHTField0" minOccurs="0"/>
                <xsd:element ref="ns3:UNDPDocumentCategoryTaxHTField0" minOccurs="0"/>
                <xsd:element ref="ns3:b6db62fdefd74bd188b0c1cc54de5bcf" minOccurs="0"/>
                <xsd:element ref="ns3:UN_x0020_LanguagesTaxHTField0" minOccurs="0"/>
                <xsd:element ref="ns3:c4e2ab2cc9354bbf9064eeb465a566ea" minOccurs="0"/>
                <xsd:element ref="ns3:UNDPFocusAreasTaxHTField0" minOccurs="0"/>
                <xsd:element ref="ns4:o4086b1782a74105bb5269035bccc8e9" minOccurs="0"/>
                <xsd:element ref="ns4:Project_x0020_Number" minOccurs="0"/>
                <xsd:element ref="ns4:idff2b682fce4d0680503cd9036a3260" minOccurs="0"/>
                <xsd:element ref="ns3:UndpIsTemplate" minOccurs="0"/>
                <xsd:element ref="ns4:gc6531b704974d528487414686b72f6f" minOccurs="0"/>
                <xsd:element ref="ns4:Project_x0020_Manager" minOccurs="0"/>
                <xsd:element ref="ns2:_Publisher" minOccurs="0"/>
                <xsd:element ref="ns4:_dlc_DocId" minOccurs="0"/>
                <xsd:element ref="ns4:_dlc_DocIdUrl" minOccurs="0"/>
                <xsd:element ref="ns4:_dlc_DocIdPersistId" minOccurs="0"/>
                <xsd:element ref="ns4:Document_x0020_Coverage_x0020_Period_x0020_Start_x0020_Date" minOccurs="0"/>
                <xsd:element ref="ns4:Document_x0020_Coverage_x0020_Period_x0020_End_x0020_Date" minOccurs="0"/>
                <xsd:element ref="ns1:RatedBy" minOccurs="0"/>
                <xsd:element ref="ns1:Ratings" minOccurs="0"/>
                <xsd:element ref="ns1:LikesCount" minOccurs="0"/>
                <xsd:element ref="ns1:LikedBy"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atedBy" ma:index="52" nillable="true" ma:displayName="Rated By" ma:description="Users rated the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53" nillable="true" ma:displayName="User ratings" ma:description="User ratings for the item" ma:hidden="true" ma:internalName="Ratings">
      <xsd:simpleType>
        <xsd:restriction base="dms:Note"/>
      </xsd:simpleType>
    </xsd:element>
    <xsd:element name="LikesCount" ma:index="54" nillable="true" ma:displayName="Number of Likes" ma:internalName="LikesCount">
      <xsd:simpleType>
        <xsd:restriction base="dms:Unknown"/>
      </xsd:simpleType>
    </xsd:element>
    <xsd:element name="LikedBy" ma:index="55"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Publisher" ma:index="46" nillable="true" ma:displayName="Publisher" ma:description="The person who published the document" ma:hidden="true" ma:internalName="_Publishe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ed4137b-41b2-488b-8250-6d369ec27664" elementFormDefault="qualified">
    <xsd:import namespace="http://schemas.microsoft.com/office/2006/documentManagement/types"/>
    <xsd:import namespace="http://schemas.microsoft.com/office/infopath/2007/PartnerControls"/>
    <xsd:element name="UndpClassificationLevel" ma:index="4" nillable="true" ma:displayName="Classification Level" ma:default="Internal Use Only" ma:description="re: UNDP Information Classification &amp; Handling Standard" ma:format="Dropdown" ma:internalName="UndpClassificationLevel">
      <xsd:simpleType>
        <xsd:restriction base="dms:Choice">
          <xsd:enumeration value="Internal Use Only"/>
          <xsd:enumeration value="Confidential"/>
          <xsd:enumeration value="Highly Confidential"/>
          <xsd:enumeration value="Public"/>
        </xsd:restriction>
      </xsd:simpleType>
    </xsd:element>
    <xsd:element name="UndpProjectNo" ma:index="8" nillable="true" ma:displayName="Project No" ma:description="If applicable, the Atlas Project Number that this document relates to." ma:internalName="UndpProjectNo" ma:readOnly="false">
      <xsd:simpleType>
        <xsd:restriction base="dms:Text">
          <xsd:maxLength value="12"/>
        </xsd:restriction>
      </xsd:simpleType>
    </xsd:element>
    <xsd:element name="UndpDocStatus" ma:index="10" nillable="true" ma:displayName="Document Status" ma:default="Draft" ma:description="The status of the document" ma:format="Dropdown" ma:internalName="UndpDocStatus">
      <xsd:simpleType>
        <xsd:restriction base="dms:Choice">
          <xsd:enumeration value="Draft"/>
          <xsd:enumeration value="Reviewed"/>
          <xsd:enumeration value="Approved"/>
          <xsd:enumeration value="Not Approved"/>
          <xsd:enumeration value="Final"/>
          <xsd:enumeration value="Expired"/>
        </xsd:restriction>
      </xsd:simpleType>
    </xsd:element>
    <xsd:element name="UndpOUCode" ma:index="11" nillable="true" ma:displayName="Unit Code" ma:description="The Atlas Unit Code of the authoring Unit" ma:format="Dropdown" ma:internalName="UndpOUCode">
      <xsd:simpleType>
        <xsd:restriction base="dms:Choice">
          <xsd:enumeration value="ABW"/>
          <xsd:enumeration value="AFG"/>
          <xsd:enumeration value="AGO"/>
          <xsd:enumeration value="AIA"/>
          <xsd:enumeration value="ALB"/>
          <xsd:enumeration value="ANT"/>
          <xsd:enumeration value="ARE"/>
          <xsd:enumeration value="ARG"/>
          <xsd:enumeration value="ARM"/>
          <xsd:enumeration value="ATG"/>
          <xsd:enumeration value="AZE"/>
          <xsd:enumeration value="BDI"/>
          <xsd:enumeration value="BEN"/>
          <xsd:enumeration value="BFA"/>
          <xsd:enumeration value="BGD"/>
          <xsd:enumeration value="BGR"/>
          <xsd:enumeration value="BHR"/>
          <xsd:enumeration value="BHS"/>
          <xsd:enumeration value="BIH"/>
          <xsd:enumeration value="BLR"/>
          <xsd:enumeration value="BLZ"/>
          <xsd:enumeration value="BMU"/>
          <xsd:enumeration value="BOL"/>
          <xsd:enumeration value="BRA"/>
          <xsd:enumeration value="BRB"/>
          <xsd:enumeration value="BRC"/>
          <xsd:enumeration value="BTN"/>
          <xsd:enumeration value="BWA"/>
          <xsd:enumeration value="CAF"/>
          <xsd:enumeration value="CHL"/>
          <xsd:enumeration value="CHN"/>
          <xsd:enumeration value="CIV"/>
          <xsd:enumeration value="CMR"/>
          <xsd:enumeration value="COD"/>
          <xsd:enumeration value="COG"/>
          <xsd:enumeration value="COK"/>
          <xsd:enumeration value="COL"/>
          <xsd:enumeration value="COM"/>
          <xsd:enumeration value="CPV"/>
          <xsd:enumeration value="CRC"/>
          <xsd:enumeration value="CRI"/>
          <xsd:enumeration value="CUB"/>
          <xsd:enumeration value="CUR"/>
          <xsd:enumeration value="CYM"/>
          <xsd:enumeration value="CYP"/>
          <xsd:enumeration value="DJI"/>
          <xsd:enumeration value="DMA"/>
          <xsd:enumeration value="DOM"/>
          <xsd:enumeration value="DZA"/>
          <xsd:enumeration value="ECU"/>
          <xsd:enumeration value="EGY"/>
          <xsd:enumeration value="ERI"/>
          <xsd:enumeration value="ETH"/>
          <xsd:enumeration value="FJI"/>
          <xsd:enumeration value="FSM"/>
          <xsd:enumeration value="GAB"/>
          <xsd:enumeration value="GEO"/>
          <xsd:enumeration value="GHA"/>
          <xsd:enumeration value="GIN"/>
          <xsd:enumeration value="GMB"/>
          <xsd:enumeration value="GNB"/>
          <xsd:enumeration value="GNQ"/>
          <xsd:enumeration value="GRD"/>
          <xsd:enumeration value="GTM"/>
          <xsd:enumeration value="GUY"/>
          <xsd:enumeration value="HND"/>
          <xsd:enumeration value="HRV"/>
          <xsd:enumeration value="HTI"/>
          <xsd:enumeration value="IDN"/>
          <xsd:enumeration value="IND"/>
          <xsd:enumeration value="IRN"/>
          <xsd:enumeration value="IRQ"/>
          <xsd:enumeration value="JAM"/>
          <xsd:enumeration value="JOR"/>
          <xsd:enumeration value="KAZ"/>
          <xsd:enumeration value="KEN"/>
          <xsd:enumeration value="KGZ"/>
          <xsd:enumeration value="KHM"/>
          <xsd:enumeration value="KIR"/>
          <xsd:enumeration value="KNA"/>
          <xsd:enumeration value="KOR"/>
          <xsd:enumeration value="KOS"/>
          <xsd:enumeration value="KWT"/>
          <xsd:enumeration value="LAO"/>
          <xsd:enumeration value="LBN"/>
          <xsd:enumeration value="LBR"/>
          <xsd:enumeration value="LBY"/>
          <xsd:enumeration value="LCA"/>
          <xsd:enumeration value="LKA"/>
          <xsd:enumeration value="LSO"/>
          <xsd:enumeration value="LTU"/>
          <xsd:enumeration value="LVA"/>
          <xsd:enumeration value="MAR"/>
          <xsd:enumeration value="MDA"/>
          <xsd:enumeration value="MDG"/>
          <xsd:enumeration value="MDV"/>
          <xsd:enumeration value="MEX"/>
          <xsd:enumeration value="MHL"/>
          <xsd:enumeration value="MKD"/>
          <xsd:enumeration value="MLI"/>
          <xsd:enumeration value="MMR"/>
          <xsd:enumeration value="MNE"/>
          <xsd:enumeration value="MNG"/>
          <xsd:enumeration value="MOZ"/>
          <xsd:enumeration value="MRT"/>
          <xsd:enumeration value="MSR"/>
          <xsd:enumeration value="MUS"/>
          <xsd:enumeration value="MWI"/>
          <xsd:enumeration value="MYS"/>
          <xsd:enumeration value="NAM"/>
          <xsd:enumeration value="NER"/>
          <xsd:enumeration value="NGA"/>
          <xsd:enumeration value="NIC"/>
          <xsd:enumeration value="NIU"/>
          <xsd:enumeration value="NPL"/>
          <xsd:enumeration value="NRU"/>
          <xsd:enumeration value="PAK"/>
          <xsd:enumeration value="PAL"/>
          <xsd:enumeration value="PAN"/>
          <xsd:enumeration value="PER"/>
          <xsd:enumeration value="PHL"/>
          <xsd:enumeration value="PLW"/>
          <xsd:enumeration value="PNG"/>
          <xsd:enumeration value="POL"/>
          <xsd:enumeration value="PRK"/>
          <xsd:enumeration value="PRY"/>
          <xsd:enumeration value="PSC"/>
          <xsd:enumeration value="QAT"/>
          <xsd:enumeration value="R11"/>
          <xsd:enumeration value="R12"/>
          <xsd:enumeration value="R44"/>
          <xsd:enumeration value="R45"/>
          <xsd:enumeration value="R46"/>
          <xsd:enumeration value="R47"/>
          <xsd:enumeration value="RJB"/>
          <xsd:enumeration value="ROU"/>
          <xsd:enumeration value="RUS"/>
          <xsd:enumeration value="RWA"/>
          <xsd:enumeration value="SAU"/>
          <xsd:enumeration value="SDN"/>
          <xsd:enumeration value="SEN"/>
          <xsd:enumeration value="SLB"/>
          <xsd:enumeration value="SLE"/>
          <xsd:enumeration value="SLV"/>
          <xsd:enumeration value="SOM"/>
          <xsd:enumeration value="SRB"/>
          <xsd:enumeration value="SSD"/>
          <xsd:enumeration value="STP"/>
          <xsd:enumeration value="SUR"/>
          <xsd:enumeration value="SVK"/>
          <xsd:enumeration value="SWZ"/>
          <xsd:enumeration value="SYC"/>
          <xsd:enumeration value="SYR"/>
          <xsd:enumeration value="TCA"/>
          <xsd:enumeration value="TCD"/>
          <xsd:enumeration value="TGO"/>
          <xsd:enumeration value="THA"/>
          <xsd:enumeration value="TJK"/>
          <xsd:enumeration value="TKL"/>
          <xsd:enumeration value="TKM"/>
          <xsd:enumeration value="TLS"/>
          <xsd:enumeration value="TON"/>
          <xsd:enumeration value="TTO"/>
          <xsd:enumeration value="TUN"/>
          <xsd:enumeration value="TUR"/>
          <xsd:enumeration value="TUV"/>
          <xsd:enumeration value="TZA"/>
          <xsd:enumeration value="UGA"/>
          <xsd:enumeration value="UKR"/>
          <xsd:enumeration value="UNV"/>
          <xsd:enumeration value="URY"/>
          <xsd:enumeration value="UZB"/>
          <xsd:enumeration value="VCT"/>
          <xsd:enumeration value="VEN"/>
          <xsd:enumeration value="VGB"/>
          <xsd:enumeration value="VNM"/>
          <xsd:enumeration value="VUT"/>
          <xsd:enumeration value="WSM"/>
          <xsd:enumeration value="YEM"/>
          <xsd:enumeration value="ZAF"/>
          <xsd:enumeration value="ZMB"/>
          <xsd:enumeration value="ZWE"/>
          <xsd:enumeration value="H01"/>
          <xsd:enumeration value="H02"/>
          <xsd:enumeration value="H03"/>
          <xsd:enumeration value="H04"/>
          <xsd:enumeration value="H05"/>
          <xsd:enumeration value="H10"/>
          <xsd:enumeration value="H11"/>
          <xsd:enumeration value="H13"/>
          <xsd:enumeration value="H13"/>
          <xsd:enumeration value="H14"/>
          <xsd:enumeration value="H15"/>
          <xsd:enumeration value="H17"/>
          <xsd:enumeration value="H18"/>
          <xsd:enumeration value="H19"/>
          <xsd:enumeration value="H20"/>
          <xsd:enumeration value="H21"/>
          <xsd:enumeration value="H22"/>
          <xsd:enumeration value="H23"/>
          <xsd:enumeration value="H24"/>
          <xsd:enumeration value="H25"/>
          <xsd:enumeration value="H26"/>
          <xsd:enumeration value="H27"/>
          <xsd:enumeration value="H28"/>
          <xsd:enumeration value="H30"/>
          <xsd:enumeration value="H31"/>
          <xsd:enumeration value="H35"/>
          <xsd:enumeration value="H42"/>
          <xsd:enumeration value="H43"/>
          <xsd:enumeration value="H45"/>
          <xsd:enumeration value="H46"/>
          <xsd:enumeration value="H48"/>
          <xsd:enumeration value="H49"/>
          <xsd:enumeration value="H51"/>
          <xsd:enumeration value="H54"/>
          <xsd:enumeration value="H56"/>
          <xsd:enumeration value="H57"/>
          <xsd:enumeration value="H58"/>
          <xsd:enumeration value="H59"/>
          <xsd:enumeration value="H61"/>
          <xsd:enumeration value="H62"/>
          <xsd:enumeration value="H70"/>
          <xsd:enumeration value="H71"/>
        </xsd:restriction>
      </xsd:simpleType>
    </xsd:element>
    <xsd:element name="UndpDocFormat" ma:index="12" nillable="true" ma:displayName="Document Medium" ma:description="The medium/format from which this document originated (i.e. Fax, Paper, eDocument etc.)" ma:format="Dropdown" ma:internalName="UndpDocFormat">
      <xsd:simpleType>
        <xsd:restriction base="dms:Choice">
          <xsd:enumeration value="E-Document"/>
          <xsd:enumeration value="Letter/Paper"/>
          <xsd:enumeration value="E-Mail"/>
          <xsd:enumeration value="Fax/Telecopy"/>
          <xsd:enumeration value="Audio"/>
          <xsd:enumeration value="Database"/>
          <xsd:enumeration value="Image/Picture"/>
          <xsd:enumeration value="Instant Message"/>
          <xsd:enumeration value="Social Media"/>
        </xsd:restriction>
      </xsd:simpleType>
    </xsd:element>
    <xsd:element name="UndpDocID" ma:index="14" nillable="true" ma:displayName="Doc ID" ma:description="The Unique ID number for this document. Reserve for System Use." ma:internalName="UndpDocID">
      <xsd:simpleType>
        <xsd:restriction base="dms:Text">
          <xsd:maxLength value="35"/>
        </xsd:restriction>
      </xsd:simpleType>
    </xsd:element>
    <xsd:element name="TaxCatchAll" ma:index="23" nillable="true" ma:displayName="Taxonomy Catch All Column" ma:hidden="true" ma:list="{ebf97bad-dcbe-4f0d-9a23-b800605d6ac9}" ma:internalName="TaxCatchAll" ma:showField="CatchAllData" ma:web="f1161f5b-24a3-4c2d-bc81-44cb9325e8ee">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hidden="true" ma:list="{ebf97bad-dcbe-4f0d-9a23-b800605d6ac9}" ma:internalName="TaxCatchAllLabel" ma:readOnly="true" ma:showField="CatchAllDataLabel" ma:web="f1161f5b-24a3-4c2d-bc81-44cb9325e8ee">
      <xsd:complexType>
        <xsd:complexContent>
          <xsd:extension base="dms:MultiChoiceLookup">
            <xsd:sequence>
              <xsd:element name="Value" type="dms:Lookup" maxOccurs="unbounded" minOccurs="0" nillable="true"/>
            </xsd:sequence>
          </xsd:extension>
        </xsd:complexContent>
      </xsd:complexType>
    </xsd:element>
    <xsd:element name="UndpDocTypeMMTaxHTField0" ma:index="25" nillable="true" ma:taxonomy="true" ma:internalName="UndpDocTypeMMTaxHTField0" ma:taxonomyFieldName="UndpDocTypeMM" ma:displayName="Document Type" ma:default="" ma:fieldId="{ef94467a-fb76-4b42-91a0-5b5bdb6c8d34}" ma:sspId="28e6c43a-9e99-4bdd-9574-a0fa4ea3b61e" ma:termSetId="9ee71e91-19a9-476b-852f-3c2a633960f8" ma:anchorId="00000000-0000-0000-0000-000000000000" ma:open="false" ma:isKeyword="false">
      <xsd:complexType>
        <xsd:sequence>
          <xsd:element ref="pc:Terms" minOccurs="0" maxOccurs="1"/>
        </xsd:sequence>
      </xsd:complexType>
    </xsd:element>
    <xsd:element name="UNDPCountryTaxHTField0" ma:index="27" nillable="true" ma:taxonomy="true" ma:internalName="UNDPCountryTaxHTField0" ma:taxonomyFieldName="UNDPCountry" ma:displayName="Applies To Unit/Office/Country" ma:default="" ma:fieldId="{81e4cc14-7d66-47aa-92fc-e5e3ceab8cf9}" ma:taxonomyMulti="true" ma:sspId="28e6c43a-9e99-4bdd-9574-a0fa4ea3b61e" ma:termSetId="442a42f2-fc2a-49a0-9036-6cd97a005fbd" ma:anchorId="00000000-0000-0000-0000-000000000000" ma:open="false" ma:isKeyword="false">
      <xsd:complexType>
        <xsd:sequence>
          <xsd:element ref="pc:Terms" minOccurs="0" maxOccurs="1"/>
        </xsd:sequence>
      </xsd:complexType>
    </xsd:element>
    <xsd:element name="UNDPDocumentCategoryTaxHTField0" ma:index="30" nillable="true" ma:taxonomy="true" ma:internalName="UNDPDocumentCategoryTaxHTField0" ma:taxonomyFieldName="UNDPDocumentCategory" ma:displayName="Document Category" ma:readOnly="false" ma:default="" ma:fieldId="{30683383-b7b1-438d-8f61-9bf6b516a9e8}" ma:sspId="28e6c43a-9e99-4bdd-9574-a0fa4ea3b61e" ma:termSetId="353ae5a2-1c9c-42f6-bb56-cf3ba72fb601" ma:anchorId="00000000-0000-0000-0000-000000000000" ma:open="false" ma:isKeyword="false">
      <xsd:complexType>
        <xsd:sequence>
          <xsd:element ref="pc:Terms" minOccurs="0" maxOccurs="1"/>
        </xsd:sequence>
      </xsd:complexType>
    </xsd:element>
    <xsd:element name="b6db62fdefd74bd188b0c1cc54de5bcf" ma:index="32" nillable="true" ma:taxonomy="true" ma:internalName="b6db62fdefd74bd188b0c1cc54de5bcf" ma:taxonomyFieldName="UndpUnitMM" ma:displayName="Responsible Unit/Office" ma:readOnly="false" ma:default="" ma:fieldId="{b6db62fd-efd7-4bd1-88b0-c1cc54de5bcf}" ma:taxonomyMulti="true" ma:sspId="28e6c43a-9e99-4bdd-9574-a0fa4ea3b61e" ma:termSetId="41041907-3ad1-4549-b766-200fd229bd1c" ma:anchorId="00000000-0000-0000-0000-000000000000" ma:open="false" ma:isKeyword="false">
      <xsd:complexType>
        <xsd:sequence>
          <xsd:element ref="pc:Terms" minOccurs="0" maxOccurs="1"/>
        </xsd:sequence>
      </xsd:complexType>
    </xsd:element>
    <xsd:element name="UN_x0020_LanguagesTaxHTField0" ma:index="33" nillable="true" ma:taxonomy="true" ma:internalName="UN_x0020_LanguagesTaxHTField0" ma:taxonomyFieldName="UN_x0020_Languages" ma:displayName="UN Languages" ma:readOnly="false" ma:default="1;#English|7f98b732-4b5b-4b70-ba90-a0eff09b5d2d" ma:fieldId="{41a2b052-e54a-4bfe-83da-6da45935c81e}" ma:sspId="28e6c43a-9e99-4bdd-9574-a0fa4ea3b61e" ma:termSetId="b4046108-c9b1-4d97-ad16-d3846fb24317" ma:anchorId="45d05d46-9bc9-40df-8618-9658690cf41e" ma:open="false" ma:isKeyword="false">
      <xsd:complexType>
        <xsd:sequence>
          <xsd:element ref="pc:Terms" minOccurs="0" maxOccurs="1"/>
        </xsd:sequence>
      </xsd:complexType>
    </xsd:element>
    <xsd:element name="c4e2ab2cc9354bbf9064eeb465a566ea" ma:index="34" nillable="true" ma:taxonomy="true" ma:internalName="c4e2ab2cc9354bbf9064eeb465a566ea" ma:taxonomyFieldName="eRegFilingCodeMM" ma:displayName="eFiling Code" ma:readOnly="false" ma:default="" ma:fieldId="{c4e2ab2c-c935-4bbf-9064-eeb465a566ea}" ma:sspId="28e6c43a-9e99-4bdd-9574-a0fa4ea3b61e" ma:termSetId="3f69c20a-3173-4973-84b2-95ebea5be078" ma:anchorId="f37a81ce-dd31-4fa3-b388-af2156d559de" ma:open="false" ma:isKeyword="false">
      <xsd:complexType>
        <xsd:sequence>
          <xsd:element ref="pc:Terms" minOccurs="0" maxOccurs="1"/>
        </xsd:sequence>
      </xsd:complexType>
    </xsd:element>
    <xsd:element name="UNDPFocusAreasTaxHTField0" ma:index="35" nillable="true" ma:taxonomy="true" ma:internalName="UNDPFocusAreasTaxHTField0" ma:taxonomyFieldName="UNDPFocusAreas" ma:displayName="Focus Area" ma:readOnly="false" ma:default="" ma:fieldId="{c0f5d6bc-94c2-4efb-8cb3-448ca9792810}" ma:taxonomyMulti="true" ma:sspId="28e6c43a-9e99-4bdd-9574-a0fa4ea3b61e" ma:termSetId="5595b894-23d9-4524-8855-5c6c69b8bcc7" ma:anchorId="00000000-0000-0000-0000-000000000000" ma:open="false" ma:isKeyword="false">
      <xsd:complexType>
        <xsd:sequence>
          <xsd:element ref="pc:Terms" minOccurs="0" maxOccurs="1"/>
        </xsd:sequence>
      </xsd:complexType>
    </xsd:element>
    <xsd:element name="UndpIsTemplate" ma:index="43" nillable="true" ma:displayName="Template" ma:default="No" ma:description="Is this document a template or model upon which other documents should be based?" ma:format="RadioButtons" ma:hidden="true" ma:internalName="UndpIsTemplate" ma:readOnly="false">
      <xsd:simpleType>
        <xsd:restriction base="dms:Choice">
          <xsd:enumeration value="Yes"/>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f1161f5b-24a3-4c2d-bc81-44cb9325e8ee" elementFormDefault="qualified">
    <xsd:import namespace="http://schemas.microsoft.com/office/2006/documentManagement/types"/>
    <xsd:import namespace="http://schemas.microsoft.com/office/infopath/2007/PartnerControls"/>
    <xsd:element name="UNDPPOPPFunctionalArea" ma:index="5" nillable="true" ma:displayName="Functional Area" ma:description="The Functional Area (as defined in POPP) of this document" ma:format="Dropdown" ma:internalName="UNDPPOPPFunctionalArea" ma:readOnly="false">
      <xsd:simpleType>
        <xsd:restriction base="dms:Choice">
          <xsd:enumeration value="Administrative Services"/>
          <xsd:enumeration value="Contract and Procurement"/>
          <xsd:enumeration value="Ethics"/>
          <xsd:enumeration value="Financial Resources"/>
          <xsd:enumeration value="Human Resources"/>
          <xsd:enumeration value="Information and Communications Technology"/>
          <xsd:enumeration value="Management of Crisis and Special Development Situations"/>
          <xsd:enumeration value="Partnerships"/>
          <xsd:enumeration value="Programme and Project"/>
          <xsd:enumeration value="Results &amp; Accountability"/>
          <xsd:enumeration value="Prescriptive Content"/>
          <xsd:enumeration value="Security"/>
        </xsd:restriction>
      </xsd:simpleType>
    </xsd:element>
    <xsd:element name="Outcome1" ma:index="9" nillable="true" ma:displayName="Output No" ma:internalName="Outcome1" ma:readOnly="false">
      <xsd:simpleType>
        <xsd:restriction base="dms:Text">
          <xsd:maxLength value="8"/>
        </xsd:restriction>
      </xsd:simpleType>
    </xsd:element>
    <xsd:element name="PDC_x0020_Document_x0020_Category" ma:index="15" nillable="true" ma:displayName="PDC Document Category" ma:default="Project" ma:format="Dropdown" ma:internalName="PDC_x0020_Document_x0020_Category" ma:readOnly="false">
      <xsd:simpleType>
        <xsd:restriction base="dms:Choice">
          <xsd:enumeration value="Project"/>
          <xsd:enumeration value="Proposal"/>
        </xsd:restriction>
      </xsd:simpleType>
    </xsd:element>
    <xsd:element name="UNDPPublishedDate" ma:index="19" nillable="true" ma:displayName="Published Date" ma:description="The date the document was published" ma:format="DateOnly" ma:hidden="true" ma:internalName="UNDPPublishedDate" ma:readOnly="false">
      <xsd:simpleType>
        <xsd:restriction base="dms:DateTime"/>
      </xsd:simpleType>
    </xsd:element>
    <xsd:element name="UNDPSummary" ma:index="21" nillable="true" ma:displayName="Summary" ma:description="A brief description or summary of the document that will displayed in search results." ma:hidden="true" ma:internalName="UNDPSummary" ma:readOnly="false">
      <xsd:simpleType>
        <xsd:restriction base="dms:Note"/>
      </xsd:simpleType>
    </xsd:element>
    <xsd:element name="o4086b1782a74105bb5269035bccc8e9" ma:index="39" nillable="true" ma:taxonomy="true" ma:internalName="o4086b1782a74105bb5269035bccc8e9" ma:taxonomyFieldName="Atlas_x0020_Document_x0020_Status" ma:displayName="PDC Document Status" ma:indexed="true" ma:default="763;#Draft|121d40a5-e62e-4d42-82e4-d6d12003de0a" ma:fieldId="{84086b17-82a7-4105-bb52-69035bccc8e9}" ma:sspId="28e6c43a-9e99-4bdd-9574-a0fa4ea3b61e" ma:termSetId="25903f6f-cbc1-40ed-9940-25d83ada12cd" ma:anchorId="00000000-0000-0000-0000-000000000000" ma:open="false" ma:isKeyword="false">
      <xsd:complexType>
        <xsd:sequence>
          <xsd:element ref="pc:Terms" minOccurs="0" maxOccurs="1"/>
        </xsd:sequence>
      </xsd:complexType>
    </xsd:element>
    <xsd:element name="Project_x0020_Number" ma:index="40" nillable="true" ma:displayName="Project Number" ma:hidden="true" ma:internalName="Project_x0020_Number" ma:readOnly="false">
      <xsd:simpleType>
        <xsd:restriction base="dms:Text">
          <xsd:maxLength value="8"/>
        </xsd:restriction>
      </xsd:simpleType>
    </xsd:element>
    <xsd:element name="idff2b682fce4d0680503cd9036a3260" ma:index="41" nillable="true" ma:taxonomy="true" ma:internalName="idff2b682fce4d0680503cd9036a3260" ma:taxonomyFieldName="Atlas_x0020_Document_x0020_Type" ma:displayName="PDC Document Type" ma:default="" ma:fieldId="{2dff2b68-2fce-4d06-8050-3cd9036a3260}" ma:sspId="28e6c43a-9e99-4bdd-9574-a0fa4ea3b61e" ma:termSetId="30d68b81-e6e1-44c0-83ea-00369bf2f000" ma:anchorId="00000000-0000-0000-0000-000000000000" ma:open="false" ma:isKeyword="false">
      <xsd:complexType>
        <xsd:sequence>
          <xsd:element ref="pc:Terms" minOccurs="0" maxOccurs="1"/>
        </xsd:sequence>
      </xsd:complexType>
    </xsd:element>
    <xsd:element name="gc6531b704974d528487414686b72f6f" ma:index="44" nillable="true" ma:taxonomy="true" ma:internalName="gc6531b704974d528487414686b72f6f" ma:taxonomyFieldName="Operating_x0020_Unit0" ma:displayName="Operating Unit" ma:default="" ma:fieldId="{0c6531b7-0497-4d52-8487-414686b72f6f}" ma:sspId="28e6c43a-9e99-4bdd-9574-a0fa4ea3b61e" ma:termSetId="4a12f052-e370-4dc7-89e6-088c48edbf4d" ma:anchorId="00000000-0000-0000-0000-000000000000" ma:open="false" ma:isKeyword="false">
      <xsd:complexType>
        <xsd:sequence>
          <xsd:element ref="pc:Terms" minOccurs="0" maxOccurs="1"/>
        </xsd:sequence>
      </xsd:complexType>
    </xsd:element>
    <xsd:element name="Project_x0020_Manager" ma:index="45" nillable="true" ma:displayName="Project Manager" ma:hidden="true" ma:internalName="Project_x0020_Manager" ma:readOnly="false">
      <xsd:simpleType>
        <xsd:restriction base="dms:Text">
          <xsd:maxLength value="50"/>
        </xsd:restriction>
      </xsd:simpleType>
    </xsd:element>
    <xsd:element name="_dlc_DocId" ma:index="47" nillable="true" ma:displayName="Document ID Value" ma:description="The value of the document ID assigned to this item." ma:internalName="_dlc_DocId" ma:readOnly="true">
      <xsd:simpleType>
        <xsd:restriction base="dms:Text"/>
      </xsd:simpleType>
    </xsd:element>
    <xsd:element name="_dlc_DocIdUrl" ma:index="4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9" nillable="true" ma:displayName="Persist ID" ma:description="Keep ID on add." ma:hidden="true" ma:internalName="_dlc_DocIdPersistId" ma:readOnly="true">
      <xsd:simpleType>
        <xsd:restriction base="dms:Boolean"/>
      </xsd:simpleType>
    </xsd:element>
    <xsd:element name="Document_x0020_Coverage_x0020_Period_x0020_Start_x0020_Date" ma:index="50" nillable="true" ma:displayName="Document Coverage Period Start Date" ma:description="The period start date of the document covers or is valid (E.g. project start date specified in a project document, start date of the period covered by a project review report, a donor report, etc.)" ma:format="DateOnly" ma:internalName="Document_x0020_Coverage_x0020_Period_x0020_Start_x0020_Date">
      <xsd:simpleType>
        <xsd:restriction base="dms:DateTime"/>
      </xsd:simpleType>
    </xsd:element>
    <xsd:element name="Document_x0020_Coverage_x0020_Period_x0020_End_x0020_Date" ma:index="51" nillable="true" ma:displayName="Document Coverage Period End Date" ma:description="The period end date of the document covers or is valid (E.g. End date specified in a project document, period end date of review report, signed or published date if period is not relevant, such as MoU or Tender)" ma:format="DateOnly" ma:internalName="Document_x0020_Coverage_x0020_Period_x0020_End_x0020_Date" ma:readOnly="false">
      <xsd:simpleType>
        <xsd:restriction base="dms:DateTime"/>
      </xsd:simpleType>
    </xsd:element>
    <xsd:element name="SharedWithUsers" ma:index="5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hor"/>
        <xsd:element ref="dcterms:created" minOccurs="0" maxOccurs="1"/>
        <xsd:element ref="dc:identifier" minOccurs="0" maxOccurs="1"/>
        <xsd:element name="contentType" minOccurs="0" maxOccurs="1" type="xsd:string" ma:index="29" ma:displayName="Content Type"/>
        <xsd:element ref="dc:title" minOccurs="0" maxOccurs="1" ma:index="1" ma:displayName="Title"/>
        <xsd:element ref="dc:subject" minOccurs="0" maxOccurs="1"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564A0B7-C1A0-45F0-8CA8-BA8729589AD5}">
  <ds:schemaRefs>
    <ds:schemaRef ds:uri="http://schemas.microsoft.com/sharepoint/events"/>
  </ds:schemaRefs>
</ds:datastoreItem>
</file>

<file path=customXml/itemProps2.xml><?xml version="1.0" encoding="utf-8"?>
<ds:datastoreItem xmlns:ds="http://schemas.openxmlformats.org/officeDocument/2006/customXml" ds:itemID="{164A0009-07D9-A040-BA05-331F96452711}">
  <ds:schemaRefs>
    <ds:schemaRef ds:uri="http://schemas.openxmlformats.org/officeDocument/2006/bibliography"/>
  </ds:schemaRefs>
</ds:datastoreItem>
</file>

<file path=customXml/itemProps3.xml><?xml version="1.0" encoding="utf-8"?>
<ds:datastoreItem xmlns:ds="http://schemas.openxmlformats.org/officeDocument/2006/customXml" ds:itemID="{952A7C29-98BE-496F-9179-2E1B1D14FF2C}">
  <ds:schemaRefs>
    <ds:schemaRef ds:uri="http://schemas.microsoft.com/sharepoint/v3/contenttype/forms"/>
  </ds:schemaRefs>
</ds:datastoreItem>
</file>

<file path=customXml/itemProps4.xml><?xml version="1.0" encoding="utf-8"?>
<ds:datastoreItem xmlns:ds="http://schemas.openxmlformats.org/officeDocument/2006/customXml" ds:itemID="{9BE1F1E5-F57D-498B-87B1-015B27CF15D2}">
  <ds:schemaRefs>
    <ds:schemaRef ds:uri="http://schemas.microsoft.com/office/2006/metadata/longProperties"/>
  </ds:schemaRefs>
</ds:datastoreItem>
</file>

<file path=customXml/itemProps5.xml><?xml version="1.0" encoding="utf-8"?>
<ds:datastoreItem xmlns:ds="http://schemas.openxmlformats.org/officeDocument/2006/customXml" ds:itemID="{89B39300-ECF3-4119-981E-609CC4B24E50}">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customXml/itemProps6.xml><?xml version="1.0" encoding="utf-8"?>
<ds:datastoreItem xmlns:ds="http://schemas.openxmlformats.org/officeDocument/2006/customXml" ds:itemID="{A55EE499-C81D-4EDD-8405-F5FE91353813}"/>
</file>

<file path=customXml/itemProps7.xml><?xml version="1.0" encoding="utf-8"?>
<ds:datastoreItem xmlns:ds="http://schemas.openxmlformats.org/officeDocument/2006/customXml" ds:itemID="{1601135E-9B94-4061-8C0F-22FD101F3F21}"/>
</file>

<file path=docProps/app.xml><?xml version="1.0" encoding="utf-8"?>
<Properties xmlns="http://schemas.openxmlformats.org/officeDocument/2006/extended-properties" xmlns:vt="http://schemas.openxmlformats.org/officeDocument/2006/docPropsVTypes">
  <Template>Normal</Template>
  <TotalTime>0</TotalTime>
  <Pages>6</Pages>
  <Words>2432</Words>
  <Characters>14500</Characters>
  <Application>Microsoft Office Word</Application>
  <DocSecurity>4</DocSecurity>
  <Lines>120</Lines>
  <Paragraphs>33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Initiation Plan Template</vt:lpstr>
      <vt:lpstr>Initiation Plan Template</vt:lpstr>
    </vt:vector>
  </TitlesOfParts>
  <Manager>BDP Capacity Development Group &amp; Bureau of Management</Manager>
  <Company>United Nations Development Programme</Company>
  <LinksUpToDate>false</LinksUpToDate>
  <CharactersWithSpaces>16899</CharactersWithSpaces>
  <SharedDoc>false</SharedDoc>
  <HLinks>
    <vt:vector size="60" baseType="variant">
      <vt:variant>
        <vt:i4>4391001</vt:i4>
      </vt:variant>
      <vt:variant>
        <vt:i4>33</vt:i4>
      </vt:variant>
      <vt:variant>
        <vt:i4>0</vt:i4>
      </vt:variant>
      <vt:variant>
        <vt:i4>5</vt:i4>
      </vt:variant>
      <vt:variant>
        <vt:lpwstr>http://content.undp.org/go/userguide/results/project/running</vt:lpwstr>
      </vt:variant>
      <vt:variant>
        <vt:lpwstr/>
      </vt:variant>
      <vt:variant>
        <vt:i4>2228286</vt:i4>
      </vt:variant>
      <vt:variant>
        <vt:i4>30</vt:i4>
      </vt:variant>
      <vt:variant>
        <vt:i4>0</vt:i4>
      </vt:variant>
      <vt:variant>
        <vt:i4>5</vt:i4>
      </vt:variant>
      <vt:variant>
        <vt:lpwstr>http://content.undp.org/go/userguide/results/project/initiating</vt:lpwstr>
      </vt:variant>
      <vt:variant>
        <vt:lpwstr/>
      </vt:variant>
      <vt:variant>
        <vt:i4>7471218</vt:i4>
      </vt:variant>
      <vt:variant>
        <vt:i4>24</vt:i4>
      </vt:variant>
      <vt:variant>
        <vt:i4>0</vt:i4>
      </vt:variant>
      <vt:variant>
        <vt:i4>5</vt:i4>
      </vt:variant>
      <vt:variant>
        <vt:lpwstr>http://content.undp.org/go/userguide/results/ppm-overview/management-structure</vt:lpwstr>
      </vt:variant>
      <vt:variant>
        <vt:lpwstr/>
      </vt:variant>
      <vt:variant>
        <vt:i4>4915214</vt:i4>
      </vt:variant>
      <vt:variant>
        <vt:i4>18</vt:i4>
      </vt:variant>
      <vt:variant>
        <vt:i4>0</vt:i4>
      </vt:variant>
      <vt:variant>
        <vt:i4>5</vt:i4>
      </vt:variant>
      <vt:variant>
        <vt:lpwstr>http://content.undp.org/go/prescriptive/Project-Management---Prescriptive-Content-Documents/</vt:lpwstr>
      </vt:variant>
      <vt:variant>
        <vt:lpwstr/>
      </vt:variant>
      <vt:variant>
        <vt:i4>5439561</vt:i4>
      </vt:variant>
      <vt:variant>
        <vt:i4>15</vt:i4>
      </vt:variant>
      <vt:variant>
        <vt:i4>0</vt:i4>
      </vt:variant>
      <vt:variant>
        <vt:i4>5</vt:i4>
      </vt:variant>
      <vt:variant>
        <vt:lpwstr>http://content.undp.org/go/userguide/results/project/defining</vt:lpwstr>
      </vt:variant>
      <vt:variant>
        <vt:lpwstr/>
      </vt:variant>
      <vt:variant>
        <vt:i4>4456508</vt:i4>
      </vt:variant>
      <vt:variant>
        <vt:i4>12</vt:i4>
      </vt:variant>
      <vt:variant>
        <vt:i4>0</vt:i4>
      </vt:variant>
      <vt:variant>
        <vt:i4>5</vt:i4>
      </vt:variant>
      <vt:variant>
        <vt:lpwstr>http://content.undp.org/go/prescriptive/Project-Management---Prescriptive-Content-Documents/download/?d_id=1352124</vt:lpwstr>
      </vt:variant>
      <vt:variant>
        <vt:lpwstr/>
      </vt:variant>
      <vt:variant>
        <vt:i4>5308419</vt:i4>
      </vt:variant>
      <vt:variant>
        <vt:i4>9</vt:i4>
      </vt:variant>
      <vt:variant>
        <vt:i4>0</vt:i4>
      </vt:variant>
      <vt:variant>
        <vt:i4>5</vt:i4>
      </vt:variant>
      <vt:variant>
        <vt:lpwstr>http://content.undp.org/go/userguide/results/project</vt:lpwstr>
      </vt:variant>
      <vt:variant>
        <vt:lpwstr/>
      </vt:variant>
      <vt:variant>
        <vt:i4>2228286</vt:i4>
      </vt:variant>
      <vt:variant>
        <vt:i4>6</vt:i4>
      </vt:variant>
      <vt:variant>
        <vt:i4>0</vt:i4>
      </vt:variant>
      <vt:variant>
        <vt:i4>5</vt:i4>
      </vt:variant>
      <vt:variant>
        <vt:lpwstr>http://content.undp.org/go/userguide/results/project/initiating</vt:lpwstr>
      </vt:variant>
      <vt:variant>
        <vt:lpwstr/>
      </vt:variant>
      <vt:variant>
        <vt:i4>5898291</vt:i4>
      </vt:variant>
      <vt:variant>
        <vt:i4>3</vt:i4>
      </vt:variant>
      <vt:variant>
        <vt:i4>0</vt:i4>
      </vt:variant>
      <vt:variant>
        <vt:i4>5</vt:i4>
      </vt:variant>
      <vt:variant>
        <vt:lpwstr>mailto:patrick.gremillet@undp.org</vt:lpwstr>
      </vt:variant>
      <vt:variant>
        <vt:lpwstr/>
      </vt:variant>
      <vt:variant>
        <vt:i4>6619152</vt:i4>
      </vt:variant>
      <vt:variant>
        <vt:i4>0</vt:i4>
      </vt:variant>
      <vt:variant>
        <vt:i4>0</vt:i4>
      </vt:variant>
      <vt:variant>
        <vt:i4>5</vt:i4>
      </vt:variant>
      <vt:variant>
        <vt:lpwstr>mailto:dien.le@undp.org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Initiation Plan Template</dc:title>
  <dc:subject>Project Management</dc:subject>
  <dc:creator>Patrick Gremillet, Regional Project Management Advisor</dc:creator>
  <cp:keywords/>
  <dc:description>Standard format for the Initiation Plan</dc:description>
  <cp:lastModifiedBy>Stella Coco</cp:lastModifiedBy>
  <cp:revision>2</cp:revision>
  <cp:lastPrinted>2021-11-09T15:18:00Z</cp:lastPrinted>
  <dcterms:created xsi:type="dcterms:W3CDTF">2021-11-17T07:57:00Z</dcterms:created>
  <dcterms:modified xsi:type="dcterms:W3CDTF">2021-11-17T07:57:00Z</dcterms:modified>
  <cp:category>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UNDPGBL-229-98</vt:lpwstr>
  </property>
  <property fmtid="{D5CDD505-2E9C-101B-9397-08002B2CF9AE}" pid="3" name="_dlc_DocIdItemGuid">
    <vt:lpwstr>806dfbc7-8cdd-426a-89f0-bf346b95f484</vt:lpwstr>
  </property>
  <property fmtid="{D5CDD505-2E9C-101B-9397-08002B2CF9AE}" pid="4" name="_dlc_DocIdUrl">
    <vt:lpwstr>https://intranet.undp.org/global/documents/_layouts/DocIdRedir.aspx?ID=UNDPGBL-229-98, UNDPGBL-229-98</vt:lpwstr>
  </property>
  <property fmtid="{D5CDD505-2E9C-101B-9397-08002B2CF9AE}" pid="5" name="UNDPPOPPFunctionalArea">
    <vt:lpwstr>Programme and Project</vt:lpwstr>
  </property>
  <property fmtid="{D5CDD505-2E9C-101B-9397-08002B2CF9AE}" pid="6" name="UNDPPOPPKeywordsTaxHTField0">
    <vt:lpwstr/>
  </property>
  <property fmtid="{D5CDD505-2E9C-101B-9397-08002B2CF9AE}" pid="7" name="UNDPResponsibleUnit">
    <vt:lpwstr>BDP/CDG</vt:lpwstr>
  </property>
  <property fmtid="{D5CDD505-2E9C-101B-9397-08002B2CF9AE}" pid="8" name="UNDPSubject">
    <vt:lpwstr/>
  </property>
  <property fmtid="{D5CDD505-2E9C-101B-9397-08002B2CF9AE}" pid="9" name="UNDPApplicability">
    <vt:lpwstr/>
  </property>
  <property fmtid="{D5CDD505-2E9C-101B-9397-08002B2CF9AE}" pid="10" name="UNDPPOPPProcess">
    <vt:lpwstr>Project Management</vt:lpwstr>
  </property>
  <property fmtid="{D5CDD505-2E9C-101B-9397-08002B2CF9AE}" pid="11" name="UNDPPOPPSubsubprocess">
    <vt:lpwstr/>
  </property>
  <property fmtid="{D5CDD505-2E9C-101B-9397-08002B2CF9AE}" pid="12" name="UNDPPOPPKeywords">
    <vt:lpwstr/>
  </property>
  <property fmtid="{D5CDD505-2E9C-101B-9397-08002B2CF9AE}" pid="13" name="UNDPIsPartOf">
    <vt:lpwstr/>
  </property>
  <property fmtid="{D5CDD505-2E9C-101B-9397-08002B2CF9AE}" pid="14" name="ContentTypeId">
    <vt:lpwstr>0x010100F075C04BA242A84ABD3293E3AD35CDA400AB50428DC784B44FAACCAA5FAE40C0590045B5E632B552204ABF0E616DD66BDA0F</vt:lpwstr>
  </property>
  <property fmtid="{D5CDD505-2E9C-101B-9397-08002B2CF9AE}" pid="15" name="UNDPPOPPSubprocess">
    <vt:lpwstr>Defining a Project</vt:lpwstr>
  </property>
  <property fmtid="{D5CDD505-2E9C-101B-9397-08002B2CF9AE}" pid="16" name="TaxCatchAll">
    <vt:lpwstr/>
  </property>
  <property fmtid="{D5CDD505-2E9C-101B-9397-08002B2CF9AE}" pid="17" name="Focalpoint">
    <vt:lpwstr/>
  </property>
  <property fmtid="{D5CDD505-2E9C-101B-9397-08002B2CF9AE}" pid="18" name="Order">
    <vt:lpwstr>9800.00000000000</vt:lpwstr>
  </property>
  <property fmtid="{D5CDD505-2E9C-101B-9397-08002B2CF9AE}" pid="19" name="UNDPCreator">
    <vt:lpwstr/>
  </property>
  <property fmtid="{D5CDD505-2E9C-101B-9397-08002B2CF9AE}" pid="20" name="BusinessUnit">
    <vt:lpwstr>2;#Programme and Project Management|dea4c69a-7909-43f6-8de1-50c95d5a9f3f</vt:lpwstr>
  </property>
  <property fmtid="{D5CDD505-2E9C-101B-9397-08002B2CF9AE}" pid="21" name="POPPBusinessProcess">
    <vt:lpwstr/>
  </property>
  <property fmtid="{D5CDD505-2E9C-101B-9397-08002B2CF9AE}" pid="22" name="l0e6ef0c43e74560bd7f3acd1f5e8571">
    <vt:lpwstr>Programme and Project Management|dea4c69a-7909-43f6-8de1-50c95d5a9f3f</vt:lpwstr>
  </property>
  <property fmtid="{D5CDD505-2E9C-101B-9397-08002B2CF9AE}" pid="23" name="UNDP_POPP_BUSINESSUNIT">
    <vt:lpwstr>669;#Programme and Project Management|1c019435-9793-447e-8959-0b32d23bf3d5</vt:lpwstr>
  </property>
  <property fmtid="{D5CDD505-2E9C-101B-9397-08002B2CF9AE}" pid="24" name="UNDPCountry">
    <vt:lpwstr>1174;#Units/Offices|dc193c33-d84d-49b7-b96c-78772b816c2f</vt:lpwstr>
  </property>
  <property fmtid="{D5CDD505-2E9C-101B-9397-08002B2CF9AE}" pid="25" name="UN Languages">
    <vt:lpwstr>233;#French|946783f8-cd0b-41e2-848e-7777f631248e</vt:lpwstr>
  </property>
  <property fmtid="{D5CDD505-2E9C-101B-9397-08002B2CF9AE}" pid="26" name="Operating Unit0">
    <vt:lpwstr>1212;#BEN|da271886-2650-4055-a85b-d60b902df11d</vt:lpwstr>
  </property>
  <property fmtid="{D5CDD505-2E9C-101B-9397-08002B2CF9AE}" pid="27" name="Atlas Document Status">
    <vt:lpwstr>763;#Draft|121d40a5-e62e-4d42-82e4-d6d12003de0a</vt:lpwstr>
  </property>
  <property fmtid="{D5CDD505-2E9C-101B-9397-08002B2CF9AE}" pid="28" name="Atlas Document Type">
    <vt:lpwstr>1107;#Other|10be685e-4bef-4aec-b905-4df3748c0781</vt:lpwstr>
  </property>
  <property fmtid="{D5CDD505-2E9C-101B-9397-08002B2CF9AE}" pid="29" name="eRegFilingCodeMM">
    <vt:lpwstr/>
  </property>
  <property fmtid="{D5CDD505-2E9C-101B-9397-08002B2CF9AE}" pid="30" name="UndpUnitMM">
    <vt:lpwstr/>
  </property>
  <property fmtid="{D5CDD505-2E9C-101B-9397-08002B2CF9AE}" pid="31" name="UNDPFocusAreas">
    <vt:lpwstr>232;#Poverty Reduction|c594d747-5b40-4db6-8895-68504210264c;#1175;#Resilience|3417f382-f7a3-4ef0-8720-9ea8649f4e75</vt:lpwstr>
  </property>
  <property fmtid="{D5CDD505-2E9C-101B-9397-08002B2CF9AE}" pid="32" name="UndpDocTypeMM">
    <vt:lpwstr/>
  </property>
  <property fmtid="{D5CDD505-2E9C-101B-9397-08002B2CF9AE}" pid="33" name="UNDPDocumentCategory">
    <vt:lpwstr/>
  </property>
  <property fmtid="{D5CDD505-2E9C-101B-9397-08002B2CF9AE}" pid="34" name="DocumentSetDescription">
    <vt:lpwstr/>
  </property>
  <property fmtid="{D5CDD505-2E9C-101B-9397-08002B2CF9AE}" pid="35" name="UnitTaxHTField0">
    <vt:lpwstr/>
  </property>
  <property fmtid="{D5CDD505-2E9C-101B-9397-08002B2CF9AE}" pid="36" name="Unit">
    <vt:lpwstr/>
  </property>
  <property fmtid="{D5CDD505-2E9C-101B-9397-08002B2CF9AE}" pid="37" name="URL">
    <vt:lpwstr/>
  </property>
</Properties>
</file>